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149" w:rsidRPr="00CC3149" w:rsidRDefault="00CC3149" w:rsidP="00CC3149">
      <w:pPr>
        <w:jc w:val="both"/>
        <w:rPr>
          <w:lang w:val="en-US"/>
        </w:rPr>
      </w:pPr>
    </w:p>
    <w:p w:rsidR="00CC3149" w:rsidRPr="00770A29" w:rsidRDefault="001B1E45" w:rsidP="00CC3149">
      <w:pPr>
        <w:jc w:val="both"/>
        <w:rPr>
          <w:b/>
          <w:bCs/>
          <w:lang w:val="en-US"/>
        </w:rPr>
      </w:pPr>
      <w:r>
        <w:rPr>
          <w:b/>
          <w:bCs/>
          <w:lang w:val="en-US"/>
        </w:rPr>
        <w:t>Mining c</w:t>
      </w:r>
      <w:r w:rsidRPr="00770A29">
        <w:rPr>
          <w:b/>
          <w:bCs/>
          <w:lang w:val="en-US"/>
        </w:rPr>
        <w:t>orporat</w:t>
      </w:r>
      <w:r>
        <w:rPr>
          <w:b/>
          <w:bCs/>
          <w:lang w:val="en-US"/>
        </w:rPr>
        <w:t>ions’</w:t>
      </w:r>
      <w:r w:rsidR="00770A29" w:rsidRPr="00770A29">
        <w:rPr>
          <w:b/>
          <w:bCs/>
          <w:lang w:val="en-US"/>
        </w:rPr>
        <w:t xml:space="preserve"> counterinsurgency</w:t>
      </w:r>
      <w:r w:rsidR="00770A29" w:rsidRPr="00770A29">
        <w:rPr>
          <w:b/>
          <w:bCs/>
          <w:lang w:val="en-US"/>
        </w:rPr>
        <w:t xml:space="preserve"> strategies</w:t>
      </w:r>
      <w:r>
        <w:rPr>
          <w:b/>
          <w:bCs/>
          <w:lang w:val="en-US"/>
        </w:rPr>
        <w:t>:</w:t>
      </w:r>
      <w:r w:rsidR="00770A29" w:rsidRPr="00770A29">
        <w:rPr>
          <w:b/>
          <w:bCs/>
          <w:lang w:val="en-US"/>
        </w:rPr>
        <w:t xml:space="preserve"> an ongoing process of territorial transformation</w:t>
      </w:r>
      <w:r>
        <w:rPr>
          <w:b/>
          <w:bCs/>
          <w:lang w:val="en-US"/>
        </w:rPr>
        <w:t xml:space="preserve"> in the south-east Ecuadorian Amazon</w:t>
      </w:r>
    </w:p>
    <w:p w:rsidR="00770A29" w:rsidRPr="00CC3149" w:rsidRDefault="00770A29" w:rsidP="00CC3149">
      <w:pPr>
        <w:jc w:val="both"/>
        <w:rPr>
          <w:lang w:val="en-US"/>
        </w:rPr>
      </w:pPr>
    </w:p>
    <w:p w:rsidR="00CC3149" w:rsidRDefault="00CC3149" w:rsidP="00CC3149">
      <w:pPr>
        <w:jc w:val="both"/>
        <w:rPr>
          <w:lang w:val="en-US"/>
        </w:rPr>
      </w:pPr>
      <w:r w:rsidRPr="00CC3149">
        <w:rPr>
          <w:lang w:val="en-US"/>
        </w:rPr>
        <w:t>When external actors come to settle in a territory aiming at the exploitation of its resources, resistance to extractive projects and counter hegemonic discourses and practices, together with everyday politics of acquiescence, collaboration and negotiation, arise. But what happens between the project exploration phase and the construction/exploitation one? And how does the initial resistance slide, although partially, into coexistence? Transnational mining companies have their own corporate counterinsurgency discourses and practices</w:t>
      </w:r>
      <w:r w:rsidR="001B1E45">
        <w:rPr>
          <w:lang w:val="en-US"/>
        </w:rPr>
        <w:t xml:space="preserve"> </w:t>
      </w:r>
      <w:r w:rsidR="001B1E45">
        <w:rPr>
          <w:lang w:val="en-US"/>
        </w:rPr>
        <w:fldChar w:fldCharType="begin" w:fldLock="1"/>
      </w:r>
      <w:r w:rsidR="001B1E45">
        <w:rPr>
          <w:lang w:val="en-US"/>
        </w:rPr>
        <w:instrText>ADDIN CSL_CITATION {"citationItems":[{"id":"ITEM-1","itemData":{"DOI":"10.1016/J.POLGEO.2017.09.018","ISSN":"0962-6298","abstract":"The German Rhineland is home to the world's largest opencast lignite coal mine and human-made hole – the Hambach mine. Over the last seven years, RWE, the mine operator, has faced an increase in militant resistance, culminating in the occupation of the Hambacher Forest and acts of civil disobedience and sabotage. The mine provides a European case study to examine the repressive techniques deployed by RWE to legitimise coal mining in the face of a determined opposition. Drawing on political ecology literature and work on corporate counter-movements, this paper peers into extractive industries and their corporate social responsibility (CSR) engagements through the lens of corporate counterinsurgency. We first provide some background to the mine and RWE's unique position in the German political economy. After explaining the rise of resistance, the paper then discusses counterinsurgency in relation to CSR by outlining the different techniques used to win the ‘hearts’ and ‘minds’ of people around the mine. This includes securing the support of political leaders, lobbying, involvement in social events, infrastructure projects, astroturf groups and ecological restoration/offsetting work, which combine with overtly repressive techniques by public and private security forces that together attempt to legitimise the mine and stigmatise, intimidate and criminalise activists. This paper contents that counterinsurgency techniques are becoming normalised into the everyday operations of RWE, naturalising its image as ‘good corporate citizen’ and legitimising and invisibilising the violence towards (non)human nature inherent in the corporate-state-mining-complex, as mining is becoming part of the ‘green economy’ and made ‘sustainable’.","author":[{"dropping-particle":"","family":"Brock","given":"Andrea","non-dropping-particle":"","parse-names":false,"suffix":""},{"dropping-particle":"","family":"Dunlap","given":"Alexander","non-dropping-particle":"","parse-names":false,"suffix":""}],"container-title":"Political Geography","id":"ITEM-1","issued":{"date-parts":[["2018","1","1"]]},"page":"33-47","publisher":"Pergamon","title":"Normalising corporate counterinsurgency: Engineering consent, managing resistance and greening destruction around the Hambach coal mine and beyond","type":"article-journal","volume":"62"},"uris":["http://www.mendeley.com/documents/?uuid=97dfa93f-870f-3522-bab4-31112bdcb896"]}],"mendeley":{"formattedCitation":"(Brock &amp; Dunlap, 2018)","plainTextFormattedCitation":"(Brock &amp; Dunlap, 2018)"},"properties":{"noteIndex":0},"schema":"https://github.com/citation-style-language/schema/raw/master/csl-citation.json"}</w:instrText>
      </w:r>
      <w:r w:rsidR="001B1E45">
        <w:rPr>
          <w:lang w:val="en-US"/>
        </w:rPr>
        <w:fldChar w:fldCharType="separate"/>
      </w:r>
      <w:r w:rsidR="001B1E45" w:rsidRPr="001B1E45">
        <w:rPr>
          <w:noProof/>
          <w:lang w:val="en-US"/>
        </w:rPr>
        <w:t>(Brock &amp; Dunlap, 2018)</w:t>
      </w:r>
      <w:r w:rsidR="001B1E45">
        <w:rPr>
          <w:lang w:val="en-US"/>
        </w:rPr>
        <w:fldChar w:fldCharType="end"/>
      </w:r>
      <w:r w:rsidRPr="00CC3149">
        <w:rPr>
          <w:lang w:val="en-US"/>
        </w:rPr>
        <w:t xml:space="preserve">, where violence, militarization and displacement are only a part of a much more complex, internationally and locally constructed, strategy. In a global context of </w:t>
      </w:r>
      <w:r w:rsidR="001B1E45">
        <w:rPr>
          <w:lang w:val="en-US"/>
        </w:rPr>
        <w:t xml:space="preserve">energy transition and always growing technological innovations, </w:t>
      </w:r>
      <w:r w:rsidR="001B1E45" w:rsidRPr="00CC3149">
        <w:rPr>
          <w:lang w:val="en-US"/>
        </w:rPr>
        <w:t>minerals demand</w:t>
      </w:r>
      <w:r w:rsidR="001B1E45">
        <w:rPr>
          <w:lang w:val="en-US"/>
        </w:rPr>
        <w:t xml:space="preserve"> increase and</w:t>
      </w:r>
      <w:r w:rsidRPr="00CC3149">
        <w:rPr>
          <w:lang w:val="en-US"/>
        </w:rPr>
        <w:t xml:space="preserve"> new vulnerable territories become economically profitable</w:t>
      </w:r>
      <w:r w:rsidR="001B1E45">
        <w:rPr>
          <w:lang w:val="en-US"/>
        </w:rPr>
        <w:t>.</w:t>
      </w:r>
      <w:r w:rsidRPr="00CC3149">
        <w:rPr>
          <w:lang w:val="en-US"/>
        </w:rPr>
        <w:t xml:space="preserve"> </w:t>
      </w:r>
      <w:r w:rsidR="001B1E45">
        <w:rPr>
          <w:lang w:val="en-US"/>
        </w:rPr>
        <w:t>M</w:t>
      </w:r>
      <w:r w:rsidRPr="00CC3149">
        <w:rPr>
          <w:lang w:val="en-US"/>
        </w:rPr>
        <w:t>ining corporations have to revisit their “social license to operate” framework in the effort of cleaning up their past and adapting to present soci</w:t>
      </w:r>
      <w:r>
        <w:rPr>
          <w:lang w:val="en-US"/>
        </w:rPr>
        <w:t xml:space="preserve">o-environmental </w:t>
      </w:r>
      <w:r w:rsidRPr="00CC3149">
        <w:rPr>
          <w:lang w:val="en-US"/>
        </w:rPr>
        <w:t>discourses</w:t>
      </w:r>
      <w:r w:rsidR="001B1E45">
        <w:rPr>
          <w:lang w:val="en-US"/>
        </w:rPr>
        <w:t xml:space="preserve"> and practices</w:t>
      </w:r>
      <w:r w:rsidRPr="00CC3149">
        <w:rPr>
          <w:lang w:val="en-US"/>
        </w:rPr>
        <w:t xml:space="preserve">. Concepts, like good governance, </w:t>
      </w:r>
      <w:r>
        <w:rPr>
          <w:lang w:val="en-US"/>
        </w:rPr>
        <w:t xml:space="preserve">used </w:t>
      </w:r>
      <w:r w:rsidR="00770A29">
        <w:rPr>
          <w:lang w:val="en-US"/>
        </w:rPr>
        <w:t>by and for</w:t>
      </w:r>
      <w:r w:rsidRPr="00CC3149">
        <w:rPr>
          <w:lang w:val="en-US"/>
        </w:rPr>
        <w:t xml:space="preserve"> the</w:t>
      </w:r>
      <w:r w:rsidR="001B1E45">
        <w:rPr>
          <w:lang w:val="en-US"/>
        </w:rPr>
        <w:t xml:space="preserve"> corporate</w:t>
      </w:r>
      <w:r w:rsidRPr="00CC3149">
        <w:rPr>
          <w:lang w:val="en-US"/>
        </w:rPr>
        <w:t xml:space="preserve"> extractive sector find fertile ground in </w:t>
      </w:r>
      <w:r w:rsidR="001B1E45">
        <w:rPr>
          <w:lang w:val="en-US"/>
        </w:rPr>
        <w:t xml:space="preserve">the </w:t>
      </w:r>
      <w:r w:rsidRPr="00CC3149">
        <w:rPr>
          <w:lang w:val="en-US"/>
        </w:rPr>
        <w:t>institution</w:t>
      </w:r>
      <w:r w:rsidR="001B1E45">
        <w:rPr>
          <w:lang w:val="en-US"/>
        </w:rPr>
        <w:t>al</w:t>
      </w:r>
      <w:r w:rsidRPr="00CC3149">
        <w:rPr>
          <w:lang w:val="en-US"/>
        </w:rPr>
        <w:t xml:space="preserve"> and politic</w:t>
      </w:r>
      <w:r w:rsidR="001B1E45">
        <w:rPr>
          <w:lang w:val="en-US"/>
        </w:rPr>
        <w:t xml:space="preserve">al </w:t>
      </w:r>
      <w:r w:rsidR="001B1E45" w:rsidRPr="00CC3149">
        <w:rPr>
          <w:lang w:val="en-US"/>
        </w:rPr>
        <w:t xml:space="preserve">national </w:t>
      </w:r>
      <w:r w:rsidR="001B1E45">
        <w:rPr>
          <w:lang w:val="en-US"/>
        </w:rPr>
        <w:t>structure supporting the classic theoretical marriage between extraction and national development</w:t>
      </w:r>
      <w:r w:rsidRPr="00CC3149">
        <w:rPr>
          <w:lang w:val="en-US"/>
        </w:rPr>
        <w:t>. This presentation aims to explore such strategies, comparing two mining projects at two different phases, advanced exploration and recent exploitation, in a rural-indigenous region of the south-e</w:t>
      </w:r>
      <w:r w:rsidR="001B1E45">
        <w:rPr>
          <w:lang w:val="en-US"/>
        </w:rPr>
        <w:t>a</w:t>
      </w:r>
      <w:r w:rsidRPr="00CC3149">
        <w:rPr>
          <w:lang w:val="en-US"/>
        </w:rPr>
        <w:t xml:space="preserve">st Ecuadorian Amazon. This territory is trapped in a historical internal “peripheralization” process that produced the conditions for its current transformation to a global “resource periphery” </w:t>
      </w:r>
      <w:r w:rsidR="001B1E45">
        <w:rPr>
          <w:lang w:val="en-US"/>
        </w:rPr>
        <w:fldChar w:fldCharType="begin" w:fldLock="1"/>
      </w:r>
      <w:r w:rsidR="001B1E45">
        <w:rPr>
          <w:lang w:val="en-US"/>
        </w:rPr>
        <w:instrText>ADDIN CSL_CITATION {"citationItems":[{"id":"ITEM-1","itemData":{"DOI":"10.1007/978-3-030-84606-0_1","ISBN":"9783030846053","author":[{"dropping-particle":"","family":"Irarrázaval","given":"Felipe","non-dropping-particle":"","parse-names":false,"suffix":""},{"dropping-particle":"","family":"Arias-Loyola","given":"Martín","non-dropping-particle":"","parse-names":false,"suffix":""}],"edition":"Springer","id":"ITEM-1","issued":{"date-parts":[["2021"]]},"number-of-pages":"213","title":"Resource Peripheries in the Global Economy","type":"book"},"uris":["http://www.mendeley.com/documents/?uuid=045150cb-e521-4ab8-b339-f5e79f9c542c"]}],"mendeley":{"formattedCitation":"(Irarrázaval &amp; Arias-Loyola, 2021)","plainTextFormattedCitation":"(Irarrázaval &amp; Arias-Loyola, 2021)","previouslyFormattedCitation":"(Irarrázaval &amp; Arias-Loyola, 2021)"},"properties":{"noteIndex":0},"schema":"https://github.com/citation-style-language/schema/raw/master/csl-citation.json"}</w:instrText>
      </w:r>
      <w:r w:rsidR="001B1E45">
        <w:rPr>
          <w:lang w:val="en-US"/>
        </w:rPr>
        <w:fldChar w:fldCharType="separate"/>
      </w:r>
      <w:r w:rsidR="001B1E45" w:rsidRPr="001B1E45">
        <w:rPr>
          <w:noProof/>
          <w:lang w:val="en-US"/>
        </w:rPr>
        <w:t>(Irarrázaval &amp; Arias-Loyola, 2021)</w:t>
      </w:r>
      <w:r w:rsidR="001B1E45">
        <w:rPr>
          <w:lang w:val="en-US"/>
        </w:rPr>
        <w:fldChar w:fldCharType="end"/>
      </w:r>
      <w:r w:rsidR="001B1E45">
        <w:rPr>
          <w:lang w:val="en-US"/>
        </w:rPr>
        <w:t xml:space="preserve"> </w:t>
      </w:r>
      <w:r w:rsidRPr="00CC3149">
        <w:rPr>
          <w:lang w:val="en-US"/>
        </w:rPr>
        <w:t xml:space="preserve">in a country where </w:t>
      </w:r>
      <w:r w:rsidR="001B1E45">
        <w:rPr>
          <w:lang w:val="en-US"/>
        </w:rPr>
        <w:t xml:space="preserve">corporate large scale </w:t>
      </w:r>
      <w:r w:rsidRPr="00CC3149">
        <w:rPr>
          <w:lang w:val="en-US"/>
        </w:rPr>
        <w:t>mining represents a</w:t>
      </w:r>
      <w:r w:rsidR="001B1E45">
        <w:rPr>
          <w:lang w:val="en-US"/>
        </w:rPr>
        <w:t xml:space="preserve"> very</w:t>
      </w:r>
      <w:r w:rsidRPr="00CC3149">
        <w:rPr>
          <w:lang w:val="en-US"/>
        </w:rPr>
        <w:t xml:space="preserve"> recent activity promoted by the last three governments (2008 to today). The presentation will mainly focus on companies - local governments – local communities’ relations, exploring their evolution, their territorial variables and the two mining companies’ corporate social responsibility politics’ differences and outcomes. </w:t>
      </w:r>
    </w:p>
    <w:p w:rsidR="001B1E45" w:rsidRPr="00CC3149" w:rsidRDefault="001B1E45" w:rsidP="00CC3149">
      <w:pPr>
        <w:jc w:val="both"/>
        <w:rPr>
          <w:lang w:val="en-US"/>
        </w:rPr>
      </w:pPr>
    </w:p>
    <w:p w:rsidR="001B1E45" w:rsidRDefault="001B1E45" w:rsidP="001B1E45">
      <w:pPr>
        <w:widowControl w:val="0"/>
        <w:autoSpaceDE w:val="0"/>
        <w:autoSpaceDN w:val="0"/>
        <w:adjustRightInd w:val="0"/>
        <w:rPr>
          <w:rFonts w:ascii="Calibri" w:hAnsi="Calibri" w:cs="Calibri"/>
          <w:noProof/>
          <w:kern w:val="0"/>
        </w:rPr>
      </w:pPr>
      <w:r>
        <w:rPr>
          <w:lang w:val="en-US"/>
        </w:rPr>
        <w:fldChar w:fldCharType="begin" w:fldLock="1"/>
      </w:r>
      <w:r>
        <w:rPr>
          <w:lang w:val="en-US"/>
        </w:rPr>
        <w:instrText xml:space="preserve">ADDIN Mendeley Bibliography CSL_BIBLIOGRAPHY </w:instrText>
      </w:r>
      <w:r>
        <w:rPr>
          <w:lang w:val="en-US"/>
        </w:rPr>
        <w:fldChar w:fldCharType="separate"/>
      </w:r>
      <w:r w:rsidRPr="001B1E45">
        <w:rPr>
          <w:rFonts w:ascii="Calibri" w:hAnsi="Calibri" w:cs="Calibri"/>
          <w:noProof/>
          <w:kern w:val="0"/>
        </w:rPr>
        <w:t>Brock, A., Dunlap, A.</w:t>
      </w:r>
      <w:r>
        <w:rPr>
          <w:rFonts w:ascii="Calibri" w:hAnsi="Calibri" w:cs="Calibri"/>
          <w:noProof/>
          <w:kern w:val="0"/>
        </w:rPr>
        <w:t xml:space="preserve"> (</w:t>
      </w:r>
      <w:r w:rsidRPr="001B1E45">
        <w:rPr>
          <w:rFonts w:ascii="Calibri" w:hAnsi="Calibri" w:cs="Calibri"/>
          <w:noProof/>
          <w:kern w:val="0"/>
        </w:rPr>
        <w:t>2018</w:t>
      </w:r>
      <w:r>
        <w:rPr>
          <w:rFonts w:ascii="Calibri" w:hAnsi="Calibri" w:cs="Calibri"/>
          <w:noProof/>
          <w:kern w:val="0"/>
        </w:rPr>
        <w:t xml:space="preserve">). </w:t>
      </w:r>
      <w:r w:rsidRPr="001B1E45">
        <w:rPr>
          <w:rFonts w:ascii="Calibri" w:hAnsi="Calibri" w:cs="Calibri"/>
          <w:noProof/>
          <w:kern w:val="0"/>
          <w:lang w:val="en-US"/>
        </w:rPr>
        <w:t xml:space="preserve">Normalising corporate counterinsurgency: Engineering consent, managing resistance and greening destruction around the Hambach coal mine and beyond. </w:t>
      </w:r>
      <w:r w:rsidRPr="001B1E45">
        <w:rPr>
          <w:rFonts w:ascii="Calibri" w:hAnsi="Calibri" w:cs="Calibri"/>
          <w:i/>
          <w:iCs/>
          <w:noProof/>
          <w:kern w:val="0"/>
        </w:rPr>
        <w:t>Political Geography</w:t>
      </w:r>
      <w:r>
        <w:rPr>
          <w:rFonts w:ascii="Calibri" w:hAnsi="Calibri" w:cs="Calibri"/>
          <w:noProof/>
          <w:kern w:val="0"/>
        </w:rPr>
        <w:t>.</w:t>
      </w:r>
      <w:r w:rsidRPr="001B1E45">
        <w:rPr>
          <w:rFonts w:ascii="Calibri" w:hAnsi="Calibri" w:cs="Calibri"/>
          <w:noProof/>
          <w:kern w:val="0"/>
        </w:rPr>
        <w:t xml:space="preserve"> Vol. </w:t>
      </w:r>
      <w:r w:rsidRPr="001B1E45">
        <w:rPr>
          <w:rFonts w:ascii="Calibri" w:hAnsi="Calibri" w:cs="Calibri"/>
          <w:i/>
          <w:iCs/>
          <w:noProof/>
          <w:kern w:val="0"/>
        </w:rPr>
        <w:t>62</w:t>
      </w:r>
      <w:r w:rsidRPr="001B1E45">
        <w:rPr>
          <w:rFonts w:ascii="Calibri" w:hAnsi="Calibri" w:cs="Calibri"/>
          <w:noProof/>
          <w:kern w:val="0"/>
        </w:rPr>
        <w:t xml:space="preserve">, , p. 33–47. </w:t>
      </w:r>
    </w:p>
    <w:p w:rsidR="001B1E45" w:rsidRPr="001B1E45" w:rsidRDefault="001B1E45" w:rsidP="001B1E45">
      <w:pPr>
        <w:widowControl w:val="0"/>
        <w:autoSpaceDE w:val="0"/>
        <w:autoSpaceDN w:val="0"/>
        <w:adjustRightInd w:val="0"/>
        <w:rPr>
          <w:rFonts w:ascii="Calibri" w:hAnsi="Calibri" w:cs="Calibri"/>
          <w:noProof/>
          <w:kern w:val="0"/>
        </w:rPr>
      </w:pPr>
    </w:p>
    <w:p w:rsidR="001B1E45" w:rsidRPr="001B1E45" w:rsidRDefault="001B1E45" w:rsidP="001B1E45">
      <w:pPr>
        <w:widowControl w:val="0"/>
        <w:autoSpaceDE w:val="0"/>
        <w:autoSpaceDN w:val="0"/>
        <w:adjustRightInd w:val="0"/>
        <w:rPr>
          <w:rFonts w:ascii="Calibri" w:hAnsi="Calibri" w:cs="Calibri"/>
          <w:noProof/>
          <w:lang w:val="en-US"/>
        </w:rPr>
      </w:pPr>
      <w:r w:rsidRPr="001B1E45">
        <w:rPr>
          <w:rFonts w:ascii="Calibri" w:hAnsi="Calibri" w:cs="Calibri"/>
          <w:noProof/>
          <w:kern w:val="0"/>
        </w:rPr>
        <w:t>Irarrázaval, F., Arias-Loyola, M.</w:t>
      </w:r>
      <w:r>
        <w:rPr>
          <w:rFonts w:ascii="Calibri" w:hAnsi="Calibri" w:cs="Calibri"/>
          <w:noProof/>
          <w:kern w:val="0"/>
        </w:rPr>
        <w:t xml:space="preserve"> (</w:t>
      </w:r>
      <w:r w:rsidRPr="001B1E45">
        <w:rPr>
          <w:rFonts w:ascii="Calibri" w:hAnsi="Calibri" w:cs="Calibri"/>
          <w:noProof/>
          <w:kern w:val="0"/>
        </w:rPr>
        <w:t>2021</w:t>
      </w:r>
      <w:r>
        <w:rPr>
          <w:rFonts w:ascii="Calibri" w:hAnsi="Calibri" w:cs="Calibri"/>
          <w:noProof/>
          <w:kern w:val="0"/>
        </w:rPr>
        <w:t xml:space="preserve">). </w:t>
      </w:r>
      <w:r w:rsidRPr="001B1E45">
        <w:rPr>
          <w:rFonts w:ascii="Calibri" w:hAnsi="Calibri" w:cs="Calibri"/>
          <w:i/>
          <w:iCs/>
          <w:noProof/>
          <w:kern w:val="0"/>
          <w:lang w:val="en-US"/>
        </w:rPr>
        <w:t>Resource Peripheries in the Global Economy</w:t>
      </w:r>
      <w:r w:rsidRPr="001B1E45">
        <w:rPr>
          <w:rFonts w:ascii="Calibri" w:hAnsi="Calibri" w:cs="Calibri"/>
          <w:noProof/>
          <w:kern w:val="0"/>
          <w:lang w:val="en-US"/>
        </w:rPr>
        <w:t xml:space="preserve"> (Springer). </w:t>
      </w:r>
    </w:p>
    <w:p w:rsidR="006E481A" w:rsidRPr="006E481A" w:rsidRDefault="001B1E45" w:rsidP="001B1E45">
      <w:pPr>
        <w:widowControl w:val="0"/>
        <w:autoSpaceDE w:val="0"/>
        <w:autoSpaceDN w:val="0"/>
        <w:adjustRightInd w:val="0"/>
        <w:rPr>
          <w:lang w:val="en-US"/>
        </w:rPr>
      </w:pPr>
      <w:r>
        <w:rPr>
          <w:lang w:val="en-US"/>
        </w:rPr>
        <w:fldChar w:fldCharType="end"/>
      </w:r>
    </w:p>
    <w:sectPr w:rsidR="006E481A" w:rsidRPr="006E48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MT Std"/>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1A"/>
    <w:rsid w:val="001B1E45"/>
    <w:rsid w:val="003A4068"/>
    <w:rsid w:val="003E797E"/>
    <w:rsid w:val="005F5791"/>
    <w:rsid w:val="006E481A"/>
    <w:rsid w:val="00770A29"/>
    <w:rsid w:val="0080300E"/>
    <w:rsid w:val="00A50F47"/>
    <w:rsid w:val="00C74F74"/>
    <w:rsid w:val="00CC3149"/>
    <w:rsid w:val="00EC77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D51B"/>
  <w15:chartTrackingRefBased/>
  <w15:docId w15:val="{0106410C-04F5-014F-8ADB-8B35FAF1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autoRedefine/>
    <w:uiPriority w:val="35"/>
    <w:unhideWhenUsed/>
    <w:qFormat/>
    <w:rsid w:val="0080300E"/>
    <w:pPr>
      <w:spacing w:after="200"/>
      <w:jc w:val="both"/>
    </w:pPr>
    <w:rPr>
      <w:rFonts w:ascii="Times New Roman" w:hAnsi="Times New Roman"/>
      <w:b/>
      <w:i/>
      <w:iCs/>
      <w:color w:val="44546A" w:themeColor="text2"/>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13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BCEC1-F08B-FD45-B3E4-842D7FB5D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851</Words>
  <Characters>5533</Characters>
  <Application>Microsoft Office Word</Application>
  <DocSecurity>0</DocSecurity>
  <Lines>922</Lines>
  <Paragraphs>455</Paragraphs>
  <ScaleCrop>false</ScaleCrop>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novaglio</dc:creator>
  <cp:keywords/>
  <dc:description/>
  <cp:lastModifiedBy>valentina novaglio</cp:lastModifiedBy>
  <cp:revision>2</cp:revision>
  <dcterms:created xsi:type="dcterms:W3CDTF">2024-01-16T02:41:00Z</dcterms:created>
  <dcterms:modified xsi:type="dcterms:W3CDTF">2024-01-16T02:41:00Z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b0639ed7-2a70-3377-b7b8-dbfb856cb18c</vt:lpwstr>
  </property>
  <property fmtid="{D5CDD505-2E9C-101B-9397-08002B2CF9AE}" pid="4" name="Mendeley Citation Style_1">
    <vt:lpwstr>https://csl.mendeley.com/styles/530061191/apa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https://csl.mendeley.com/styles/530061191/apa</vt:lpwstr>
  </property>
  <property fmtid="{D5CDD505-2E9C-101B-9397-08002B2CF9AE}" pid="24" name="Mendeley Recent Style Name 9_1">
    <vt:lpwstr>Vale</vt:lpwstr>
  </property>
</Properties>
</file>