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F4B" w:rsidRPr="00607C3B" w:rsidRDefault="003A1F4B" w:rsidP="003A1F4B">
      <w:pPr>
        <w:spacing w:line="360" w:lineRule="auto"/>
        <w:ind w:firstLine="709"/>
        <w:jc w:val="center"/>
        <w:rPr>
          <w:rFonts w:ascii="Times New Roman" w:hAnsi="Times New Roman"/>
        </w:rPr>
      </w:pPr>
    </w:p>
    <w:p w:rsidR="003A1F4B" w:rsidRPr="003A1F4B" w:rsidRDefault="003A1F4B" w:rsidP="003A1F4B">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Session: </w:t>
      </w:r>
      <w:r w:rsidRPr="003A1F4B">
        <w:rPr>
          <w:rFonts w:ascii="Times New Roman" w:hAnsi="Times New Roman" w:cs="Times New Roman"/>
          <w:b/>
          <w:sz w:val="28"/>
          <w:szCs w:val="28"/>
          <w:lang w:val="en-US"/>
        </w:rPr>
        <w:t xml:space="preserve">The impact of Climate change on </w:t>
      </w:r>
      <w:proofErr w:type="spellStart"/>
      <w:r w:rsidRPr="003A1F4B">
        <w:rPr>
          <w:rFonts w:ascii="Times New Roman" w:hAnsi="Times New Roman" w:cs="Times New Roman"/>
          <w:b/>
          <w:sz w:val="28"/>
          <w:szCs w:val="28"/>
          <w:lang w:val="en-US"/>
        </w:rPr>
        <w:t>ecosytem</w:t>
      </w:r>
      <w:proofErr w:type="spellEnd"/>
      <w:r w:rsidRPr="003A1F4B">
        <w:rPr>
          <w:rFonts w:ascii="Times New Roman" w:hAnsi="Times New Roman" w:cs="Times New Roman"/>
          <w:b/>
          <w:sz w:val="28"/>
          <w:szCs w:val="28"/>
          <w:lang w:val="en-US"/>
        </w:rPr>
        <w:t> services in coastal marine environments</w:t>
      </w:r>
      <w:bookmarkStart w:id="0" w:name="_GoBack"/>
      <w:bookmarkEnd w:id="0"/>
    </w:p>
    <w:p w:rsidR="003A1F4B" w:rsidRDefault="003A1F4B" w:rsidP="003A1F4B">
      <w:pPr>
        <w:spacing w:line="360" w:lineRule="auto"/>
        <w:rPr>
          <w:rFonts w:ascii="Times New Roman" w:hAnsi="Times New Roman"/>
          <w:b/>
          <w:bCs/>
          <w:lang w:val="en-US"/>
        </w:rPr>
      </w:pPr>
    </w:p>
    <w:p w:rsidR="003A1F4B" w:rsidRPr="003172D2" w:rsidRDefault="003A1F4B" w:rsidP="003A1F4B">
      <w:pPr>
        <w:spacing w:line="360" w:lineRule="auto"/>
        <w:rPr>
          <w:rFonts w:ascii="Times New Roman" w:hAnsi="Times New Roman"/>
          <w:lang w:val="en-US"/>
        </w:rPr>
      </w:pPr>
      <w:r w:rsidRPr="003172D2">
        <w:rPr>
          <w:rFonts w:ascii="Times New Roman" w:hAnsi="Times New Roman"/>
          <w:b/>
          <w:bCs/>
          <w:lang w:val="en-US"/>
        </w:rPr>
        <w:t xml:space="preserve">Title: </w:t>
      </w:r>
      <w:r>
        <w:rPr>
          <w:rFonts w:ascii="Times New Roman" w:hAnsi="Times New Roman"/>
          <w:b/>
          <w:bCs/>
          <w:lang w:val="en-US"/>
        </w:rPr>
        <w:t>Analysis of the long-term effects of PES programs on avoided deforestation and ecosystem services provisioning: The case of Southern Oaxaca, Mexico.</w:t>
      </w:r>
    </w:p>
    <w:p w:rsidR="003A1F4B" w:rsidRPr="00C2443A" w:rsidRDefault="003A1F4B" w:rsidP="003A1F4B">
      <w:pPr>
        <w:spacing w:line="360" w:lineRule="auto"/>
        <w:ind w:firstLine="709"/>
        <w:jc w:val="center"/>
        <w:rPr>
          <w:rFonts w:ascii="Times New Roman" w:hAnsi="Times New Roman"/>
          <w:lang w:val="en-US"/>
        </w:rPr>
      </w:pPr>
    </w:p>
    <w:p w:rsidR="003A1F4B" w:rsidRPr="005F2899" w:rsidRDefault="003A1F4B" w:rsidP="003A1F4B">
      <w:pPr>
        <w:pStyle w:val="NormalWeb"/>
        <w:spacing w:beforeAutospacing="0" w:after="0" w:line="360" w:lineRule="auto"/>
        <w:rPr>
          <w:b/>
          <w:lang w:val="es-MX"/>
        </w:rPr>
      </w:pPr>
      <w:proofErr w:type="spellStart"/>
      <w:r w:rsidRPr="005F2899">
        <w:rPr>
          <w:b/>
          <w:lang w:val="es-MX"/>
        </w:rPr>
        <w:t>Author</w:t>
      </w:r>
      <w:proofErr w:type="spellEnd"/>
      <w:r w:rsidRPr="005F2899">
        <w:rPr>
          <w:b/>
          <w:lang w:val="es-MX"/>
        </w:rPr>
        <w:t xml:space="preserve"> </w:t>
      </w:r>
      <w:proofErr w:type="spellStart"/>
      <w:r w:rsidRPr="005F2899">
        <w:rPr>
          <w:b/>
          <w:lang w:val="es-MX"/>
        </w:rPr>
        <w:t>names</w:t>
      </w:r>
      <w:proofErr w:type="spellEnd"/>
      <w:r w:rsidRPr="005F2899">
        <w:rPr>
          <w:b/>
          <w:lang w:val="es-MX"/>
        </w:rPr>
        <w:t xml:space="preserve">: </w:t>
      </w:r>
      <w:bookmarkStart w:id="1" w:name="_Hlk110596144"/>
      <w:r w:rsidRPr="005F2899">
        <w:rPr>
          <w:lang w:val="es-MX"/>
        </w:rPr>
        <w:t xml:space="preserve">Pierre </w:t>
      </w:r>
      <w:proofErr w:type="spellStart"/>
      <w:proofErr w:type="gramStart"/>
      <w:r w:rsidRPr="005F2899">
        <w:rPr>
          <w:lang w:val="es-MX"/>
        </w:rPr>
        <w:t>Mokondoko</w:t>
      </w:r>
      <w:r w:rsidRPr="005F2899">
        <w:rPr>
          <w:b/>
          <w:bCs/>
          <w:vertAlign w:val="superscript"/>
          <w:lang w:val="es-MX"/>
        </w:rPr>
        <w:t>a</w:t>
      </w:r>
      <w:proofErr w:type="spellEnd"/>
      <w:r w:rsidRPr="005F2899">
        <w:rPr>
          <w:b/>
          <w:bCs/>
          <w:vertAlign w:val="superscript"/>
          <w:lang w:val="es-MX"/>
        </w:rPr>
        <w:t>,*</w:t>
      </w:r>
      <w:proofErr w:type="gramEnd"/>
      <w:r w:rsidRPr="005F2899">
        <w:rPr>
          <w:lang w:val="es-MX"/>
        </w:rPr>
        <w:t xml:space="preserve">; </w:t>
      </w:r>
      <w:proofErr w:type="spellStart"/>
      <w:r w:rsidRPr="005F2899">
        <w:rPr>
          <w:lang w:val="es-MX"/>
        </w:rPr>
        <w:t>Veronique</w:t>
      </w:r>
      <w:proofErr w:type="spellEnd"/>
      <w:r w:rsidRPr="005F2899">
        <w:rPr>
          <w:lang w:val="es-MX"/>
        </w:rPr>
        <w:t xml:space="preserve"> Sophie </w:t>
      </w:r>
      <w:proofErr w:type="spellStart"/>
      <w:r w:rsidRPr="005F2899">
        <w:rPr>
          <w:lang w:val="es-MX"/>
        </w:rPr>
        <w:t>Avila-Foucat</w:t>
      </w:r>
      <w:r w:rsidRPr="005F2899">
        <w:rPr>
          <w:b/>
          <w:bCs/>
          <w:vertAlign w:val="superscript"/>
          <w:lang w:val="es-MX"/>
        </w:rPr>
        <w:t>a,f</w:t>
      </w:r>
      <w:proofErr w:type="spellEnd"/>
      <w:r w:rsidRPr="005F2899">
        <w:rPr>
          <w:b/>
          <w:bCs/>
          <w:vertAlign w:val="superscript"/>
          <w:lang w:val="es-MX"/>
        </w:rPr>
        <w:t>,*</w:t>
      </w:r>
      <w:r w:rsidRPr="005F2899">
        <w:rPr>
          <w:lang w:val="es-MX"/>
        </w:rPr>
        <w:t>; Mauricio Galeana-</w:t>
      </w:r>
      <w:proofErr w:type="spellStart"/>
      <w:r w:rsidRPr="005F2899">
        <w:rPr>
          <w:lang w:val="es-MX"/>
        </w:rPr>
        <w:t>Pizaña</w:t>
      </w:r>
      <w:r w:rsidRPr="005F2899">
        <w:rPr>
          <w:b/>
          <w:bCs/>
          <w:vertAlign w:val="superscript"/>
          <w:lang w:val="es-MX"/>
        </w:rPr>
        <w:t>b</w:t>
      </w:r>
      <w:proofErr w:type="spellEnd"/>
      <w:r w:rsidRPr="005F2899">
        <w:rPr>
          <w:bCs/>
          <w:lang w:val="es-MX"/>
        </w:rPr>
        <w:t xml:space="preserve">; Juan Manuel </w:t>
      </w:r>
      <w:proofErr w:type="spellStart"/>
      <w:r w:rsidRPr="005F2899">
        <w:rPr>
          <w:bCs/>
          <w:lang w:val="es-MX"/>
        </w:rPr>
        <w:t>Núñez</w:t>
      </w:r>
      <w:r w:rsidRPr="005F2899">
        <w:rPr>
          <w:b/>
          <w:bCs/>
          <w:vertAlign w:val="superscript"/>
          <w:lang w:val="es-MX"/>
        </w:rPr>
        <w:t>c</w:t>
      </w:r>
      <w:proofErr w:type="spellEnd"/>
      <w:r w:rsidRPr="005F2899">
        <w:rPr>
          <w:bCs/>
          <w:lang w:val="es-MX"/>
        </w:rPr>
        <w:t xml:space="preserve">; Ángel </w:t>
      </w:r>
      <w:proofErr w:type="spellStart"/>
      <w:r w:rsidRPr="005F2899">
        <w:rPr>
          <w:bCs/>
          <w:lang w:val="es-MX"/>
        </w:rPr>
        <w:t>Merlo</w:t>
      </w:r>
      <w:r w:rsidRPr="005F2899">
        <w:rPr>
          <w:b/>
          <w:bCs/>
          <w:vertAlign w:val="superscript"/>
          <w:lang w:val="es-MX"/>
        </w:rPr>
        <w:t>a</w:t>
      </w:r>
      <w:proofErr w:type="spellEnd"/>
      <w:r w:rsidRPr="005F2899">
        <w:rPr>
          <w:bCs/>
          <w:lang w:val="es-MX"/>
        </w:rPr>
        <w:t>; Santiago Izquierdo-Tort</w:t>
      </w:r>
      <w:r w:rsidRPr="005F2899">
        <w:rPr>
          <w:b/>
          <w:bCs/>
          <w:vertAlign w:val="superscript"/>
          <w:lang w:val="es-MX"/>
        </w:rPr>
        <w:t>a</w:t>
      </w:r>
      <w:r w:rsidRPr="005F2899">
        <w:rPr>
          <w:bCs/>
          <w:lang w:val="es-MX"/>
        </w:rPr>
        <w:t xml:space="preserve">; </w:t>
      </w:r>
      <w:proofErr w:type="spellStart"/>
      <w:r w:rsidRPr="005F2899">
        <w:rPr>
          <w:bCs/>
          <w:lang w:val="es-MX"/>
        </w:rPr>
        <w:t>Sébastien</w:t>
      </w:r>
      <w:proofErr w:type="spellEnd"/>
      <w:r w:rsidRPr="005F2899">
        <w:rPr>
          <w:bCs/>
          <w:lang w:val="es-MX"/>
        </w:rPr>
        <w:t xml:space="preserve"> </w:t>
      </w:r>
      <w:proofErr w:type="spellStart"/>
      <w:r w:rsidRPr="005F2899">
        <w:rPr>
          <w:bCs/>
          <w:lang w:val="es-MX"/>
        </w:rPr>
        <w:t>Costedoat</w:t>
      </w:r>
      <w:r w:rsidRPr="005F2899">
        <w:rPr>
          <w:b/>
          <w:bCs/>
          <w:vertAlign w:val="superscript"/>
          <w:lang w:val="es-MX"/>
        </w:rPr>
        <w:t>e</w:t>
      </w:r>
      <w:proofErr w:type="spellEnd"/>
    </w:p>
    <w:bookmarkEnd w:id="1"/>
    <w:p w:rsidR="003A1F4B" w:rsidRPr="005F2899" w:rsidRDefault="003A1F4B" w:rsidP="003A1F4B">
      <w:pPr>
        <w:pStyle w:val="NormalWeb"/>
        <w:spacing w:beforeAutospacing="0" w:after="0" w:line="360" w:lineRule="auto"/>
        <w:rPr>
          <w:lang w:val="es-MX"/>
        </w:rPr>
      </w:pPr>
    </w:p>
    <w:p w:rsidR="003A1F4B" w:rsidRPr="00430A19" w:rsidRDefault="003A1F4B" w:rsidP="003A1F4B">
      <w:pPr>
        <w:pStyle w:val="NormalWeb"/>
        <w:spacing w:beforeAutospacing="0" w:after="0" w:line="360" w:lineRule="auto"/>
        <w:rPr>
          <w:b/>
          <w:lang w:val="es-MX"/>
        </w:rPr>
      </w:pPr>
      <w:proofErr w:type="spellStart"/>
      <w:r w:rsidRPr="00430A19">
        <w:rPr>
          <w:b/>
          <w:lang w:val="es-MX"/>
        </w:rPr>
        <w:t>Institutional</w:t>
      </w:r>
      <w:proofErr w:type="spellEnd"/>
      <w:r w:rsidRPr="00430A19">
        <w:rPr>
          <w:b/>
          <w:lang w:val="es-MX"/>
        </w:rPr>
        <w:t xml:space="preserve"> </w:t>
      </w:r>
      <w:proofErr w:type="spellStart"/>
      <w:r w:rsidRPr="00430A19">
        <w:rPr>
          <w:b/>
          <w:lang w:val="es-MX"/>
        </w:rPr>
        <w:t>affiliations</w:t>
      </w:r>
      <w:proofErr w:type="spellEnd"/>
      <w:r w:rsidRPr="00430A19">
        <w:rPr>
          <w:b/>
          <w:lang w:val="es-MX"/>
        </w:rPr>
        <w:t>:</w:t>
      </w:r>
    </w:p>
    <w:p w:rsidR="003A1F4B" w:rsidRPr="00171EC0" w:rsidRDefault="003A1F4B" w:rsidP="003A1F4B">
      <w:pPr>
        <w:pStyle w:val="NormalWeb"/>
        <w:suppressAutoHyphens/>
        <w:spacing w:beforeAutospacing="0" w:after="0" w:line="360" w:lineRule="auto"/>
        <w:rPr>
          <w:lang w:val="es-MX"/>
        </w:rPr>
      </w:pPr>
      <w:r>
        <w:rPr>
          <w:b/>
          <w:bCs/>
          <w:vertAlign w:val="superscript"/>
          <w:lang w:val="es-MX"/>
        </w:rPr>
        <w:t>a</w:t>
      </w:r>
      <w:r w:rsidRPr="00A62E30">
        <w:rPr>
          <w:lang w:val="es-MX"/>
        </w:rPr>
        <w:t xml:space="preserve"> Instituto de Investigaciones Económicas</w:t>
      </w:r>
      <w:r>
        <w:rPr>
          <w:lang w:val="es-MX"/>
        </w:rPr>
        <w:t xml:space="preserve"> (</w:t>
      </w:r>
      <w:proofErr w:type="spellStart"/>
      <w:r>
        <w:rPr>
          <w:lang w:val="es-MX"/>
        </w:rPr>
        <w:t>IIEc</w:t>
      </w:r>
      <w:proofErr w:type="spellEnd"/>
      <w:r>
        <w:rPr>
          <w:lang w:val="es-MX"/>
        </w:rPr>
        <w:t>)</w:t>
      </w:r>
      <w:r w:rsidRPr="00A62E30">
        <w:rPr>
          <w:lang w:val="es-MX"/>
        </w:rPr>
        <w:t>, Universidad Nacional Autónoma de México</w:t>
      </w:r>
      <w:r>
        <w:rPr>
          <w:lang w:val="es-MX"/>
        </w:rPr>
        <w:t xml:space="preserve"> (UNAM)</w:t>
      </w:r>
      <w:r w:rsidRPr="00A62E30">
        <w:rPr>
          <w:lang w:val="es-MX"/>
        </w:rPr>
        <w:t xml:space="preserve">, </w:t>
      </w:r>
      <w:proofErr w:type="spellStart"/>
      <w:r>
        <w:rPr>
          <w:lang w:val="es-MX"/>
        </w:rPr>
        <w:t>Mexico</w:t>
      </w:r>
      <w:proofErr w:type="spellEnd"/>
      <w:r>
        <w:rPr>
          <w:lang w:val="es-MX"/>
        </w:rPr>
        <w:t xml:space="preserve"> City,</w:t>
      </w:r>
      <w:r w:rsidRPr="00A62E30">
        <w:rPr>
          <w:lang w:val="es-MX"/>
        </w:rPr>
        <w:t xml:space="preserve"> </w:t>
      </w:r>
      <w:proofErr w:type="spellStart"/>
      <w:r w:rsidRPr="00171EC0">
        <w:rPr>
          <w:lang w:val="es-MX"/>
        </w:rPr>
        <w:t>Mexico</w:t>
      </w:r>
      <w:proofErr w:type="spellEnd"/>
      <w:r w:rsidRPr="00171EC0">
        <w:rPr>
          <w:lang w:val="es-MX"/>
        </w:rPr>
        <w:t>.</w:t>
      </w:r>
    </w:p>
    <w:p w:rsidR="003A1F4B" w:rsidRPr="00EC2325" w:rsidRDefault="003A1F4B" w:rsidP="003A1F4B">
      <w:pPr>
        <w:pStyle w:val="NormalWeb"/>
        <w:suppressAutoHyphens/>
        <w:spacing w:beforeAutospacing="0" w:after="0" w:line="360" w:lineRule="auto"/>
        <w:rPr>
          <w:lang w:val="es-MX"/>
        </w:rPr>
      </w:pPr>
      <w:r>
        <w:rPr>
          <w:b/>
          <w:bCs/>
          <w:vertAlign w:val="superscript"/>
          <w:lang w:val="es-MX"/>
        </w:rPr>
        <w:t>b</w:t>
      </w:r>
      <w:r w:rsidRPr="00A62E30">
        <w:rPr>
          <w:lang w:val="es-MX"/>
        </w:rPr>
        <w:t xml:space="preserve"> Centro de Investigación en Ciencias de Información Geoespacial A.C. </w:t>
      </w:r>
      <w:proofErr w:type="spellStart"/>
      <w:r>
        <w:rPr>
          <w:lang w:val="es-MX"/>
        </w:rPr>
        <w:t>Mexico</w:t>
      </w:r>
      <w:proofErr w:type="spellEnd"/>
      <w:r>
        <w:rPr>
          <w:lang w:val="es-MX"/>
        </w:rPr>
        <w:t xml:space="preserve"> City,</w:t>
      </w:r>
      <w:r w:rsidRPr="00EC2325">
        <w:rPr>
          <w:lang w:val="es-MX"/>
        </w:rPr>
        <w:t xml:space="preserve"> </w:t>
      </w:r>
      <w:proofErr w:type="spellStart"/>
      <w:r w:rsidRPr="00EC2325">
        <w:rPr>
          <w:lang w:val="es-MX"/>
        </w:rPr>
        <w:t>Mexico</w:t>
      </w:r>
      <w:proofErr w:type="spellEnd"/>
      <w:r w:rsidRPr="00EC2325">
        <w:rPr>
          <w:lang w:val="es-MX"/>
        </w:rPr>
        <w:t>.</w:t>
      </w:r>
    </w:p>
    <w:p w:rsidR="003A1F4B" w:rsidRDefault="003A1F4B" w:rsidP="003A1F4B">
      <w:pPr>
        <w:pStyle w:val="NormalWeb"/>
        <w:suppressAutoHyphens/>
        <w:spacing w:beforeAutospacing="0" w:after="0" w:line="360" w:lineRule="auto"/>
        <w:rPr>
          <w:lang w:val="es-MX"/>
        </w:rPr>
      </w:pPr>
      <w:r w:rsidRPr="003A7F35">
        <w:rPr>
          <w:b/>
          <w:vertAlign w:val="superscript"/>
          <w:lang w:val="es-MX"/>
        </w:rPr>
        <w:t>c</w:t>
      </w:r>
      <w:r>
        <w:rPr>
          <w:lang w:val="es-MX"/>
        </w:rPr>
        <w:t xml:space="preserve"> </w:t>
      </w:r>
      <w:r w:rsidRPr="006E4B8B">
        <w:rPr>
          <w:lang w:val="es-MX"/>
        </w:rPr>
        <w:t>Centro Transdisciplinar Univers</w:t>
      </w:r>
      <w:r>
        <w:rPr>
          <w:lang w:val="es-MX"/>
        </w:rPr>
        <w:t xml:space="preserve">itario para la Sustentabilidad, Universidad Iberoamericana, </w:t>
      </w:r>
      <w:proofErr w:type="spellStart"/>
      <w:r>
        <w:rPr>
          <w:lang w:val="es-MX"/>
        </w:rPr>
        <w:t>Mexico</w:t>
      </w:r>
      <w:proofErr w:type="spellEnd"/>
      <w:r>
        <w:rPr>
          <w:lang w:val="es-MX"/>
        </w:rPr>
        <w:t xml:space="preserve"> City, </w:t>
      </w:r>
      <w:proofErr w:type="spellStart"/>
      <w:r>
        <w:rPr>
          <w:lang w:val="es-MX"/>
        </w:rPr>
        <w:t>Mexico</w:t>
      </w:r>
      <w:proofErr w:type="spellEnd"/>
      <w:r>
        <w:rPr>
          <w:lang w:val="es-MX"/>
        </w:rPr>
        <w:t>.</w:t>
      </w:r>
    </w:p>
    <w:p w:rsidR="003A1F4B" w:rsidRPr="00430A19" w:rsidRDefault="003A1F4B" w:rsidP="003A1F4B">
      <w:pPr>
        <w:pStyle w:val="NormalWeb"/>
        <w:suppressAutoHyphens/>
        <w:spacing w:beforeAutospacing="0" w:after="0" w:line="360" w:lineRule="auto"/>
        <w:rPr>
          <w:lang w:val="es-MX"/>
        </w:rPr>
      </w:pPr>
      <w:r>
        <w:rPr>
          <w:b/>
          <w:vertAlign w:val="superscript"/>
          <w:lang w:val="es-MX"/>
        </w:rPr>
        <w:t>d</w:t>
      </w:r>
      <w:r w:rsidRPr="00607C3B">
        <w:rPr>
          <w:vertAlign w:val="superscript"/>
          <w:lang w:val="es-MX"/>
        </w:rPr>
        <w:t xml:space="preserve"> </w:t>
      </w:r>
      <w:r w:rsidRPr="00430A19">
        <w:rPr>
          <w:lang w:val="es-MX"/>
        </w:rPr>
        <w:t xml:space="preserve">Moore Center </w:t>
      </w:r>
      <w:proofErr w:type="spellStart"/>
      <w:r w:rsidRPr="00430A19">
        <w:rPr>
          <w:lang w:val="es-MX"/>
        </w:rPr>
        <w:t>for</w:t>
      </w:r>
      <w:proofErr w:type="spellEnd"/>
      <w:r w:rsidRPr="00430A19">
        <w:rPr>
          <w:lang w:val="es-MX"/>
        </w:rPr>
        <w:t xml:space="preserve"> </w:t>
      </w:r>
      <w:proofErr w:type="spellStart"/>
      <w:r w:rsidRPr="00430A19">
        <w:rPr>
          <w:lang w:val="es-MX"/>
        </w:rPr>
        <w:t>Science</w:t>
      </w:r>
      <w:proofErr w:type="spellEnd"/>
      <w:r w:rsidRPr="00430A19">
        <w:rPr>
          <w:lang w:val="es-MX"/>
        </w:rPr>
        <w:t xml:space="preserve">, </w:t>
      </w:r>
      <w:proofErr w:type="spellStart"/>
      <w:r w:rsidRPr="00430A19">
        <w:rPr>
          <w:lang w:val="es-MX"/>
        </w:rPr>
        <w:t>Conservation</w:t>
      </w:r>
      <w:proofErr w:type="spellEnd"/>
      <w:r w:rsidRPr="00430A19">
        <w:rPr>
          <w:lang w:val="es-MX"/>
        </w:rPr>
        <w:t xml:space="preserve"> International, Arlington, VA, USA. </w:t>
      </w:r>
    </w:p>
    <w:p w:rsidR="003A1F4B" w:rsidRPr="00607C3B" w:rsidRDefault="003A1F4B" w:rsidP="003A1F4B">
      <w:pPr>
        <w:pStyle w:val="NormalWeb"/>
        <w:suppressAutoHyphens/>
        <w:spacing w:beforeAutospacing="0" w:after="0" w:line="360" w:lineRule="auto"/>
        <w:rPr>
          <w:lang w:val="es-MX"/>
        </w:rPr>
      </w:pPr>
      <w:proofErr w:type="spellStart"/>
      <w:r>
        <w:rPr>
          <w:b/>
          <w:vertAlign w:val="superscript"/>
          <w:lang w:val="es-MX"/>
        </w:rPr>
        <w:t>e</w:t>
      </w:r>
      <w:proofErr w:type="spellEnd"/>
      <w:r>
        <w:rPr>
          <w:lang w:val="es-MX"/>
        </w:rPr>
        <w:t xml:space="preserve"> Laboratorio Nacional de Resiliencia Costera (LANRESC), Comisión Nacional de Humanidades, Ciencias y Tecnologías, </w:t>
      </w:r>
      <w:proofErr w:type="spellStart"/>
      <w:r>
        <w:rPr>
          <w:lang w:val="es-MX"/>
        </w:rPr>
        <w:t>Mexico</w:t>
      </w:r>
      <w:proofErr w:type="spellEnd"/>
      <w:r>
        <w:rPr>
          <w:lang w:val="es-MX"/>
        </w:rPr>
        <w:t xml:space="preserve"> City, </w:t>
      </w:r>
      <w:proofErr w:type="spellStart"/>
      <w:r>
        <w:rPr>
          <w:lang w:val="es-MX"/>
        </w:rPr>
        <w:t>Mexico</w:t>
      </w:r>
      <w:proofErr w:type="spellEnd"/>
      <w:r>
        <w:rPr>
          <w:lang w:val="es-MX"/>
        </w:rPr>
        <w:t xml:space="preserve">. </w:t>
      </w:r>
    </w:p>
    <w:p w:rsidR="003A1F4B" w:rsidRDefault="003A1F4B" w:rsidP="003A1F4B">
      <w:pPr>
        <w:spacing w:line="360" w:lineRule="auto"/>
        <w:rPr>
          <w:rFonts w:ascii="Times New Roman" w:hAnsi="Times New Roman" w:cs="Times New Roman"/>
          <w:b/>
          <w:sz w:val="28"/>
          <w:szCs w:val="28"/>
          <w:lang w:val="en-US"/>
        </w:rPr>
      </w:pPr>
      <w:bookmarkStart w:id="2" w:name="_Hlk136281127"/>
      <w:r>
        <w:rPr>
          <w:rFonts w:ascii="Times New Roman" w:hAnsi="Times New Roman" w:cs="Times New Roman"/>
          <w:b/>
          <w:sz w:val="28"/>
          <w:szCs w:val="28"/>
          <w:lang w:val="en-US"/>
        </w:rPr>
        <w:t>Abstract</w:t>
      </w:r>
    </w:p>
    <w:p w:rsidR="003A1F4B" w:rsidRDefault="003A1F4B" w:rsidP="003A1F4B">
      <w:pPr>
        <w:pStyle w:val="western"/>
        <w:suppressAutoHyphens/>
        <w:spacing w:before="0" w:beforeAutospacing="0" w:after="0" w:line="360" w:lineRule="auto"/>
        <w:rPr>
          <w:rFonts w:ascii="Times New Roman" w:hAnsi="Times New Roman" w:cs="Times New Roman"/>
        </w:rPr>
      </w:pPr>
      <w:r>
        <w:rPr>
          <w:rFonts w:ascii="Times New Roman" w:hAnsi="Times New Roman" w:cs="Times New Roman"/>
        </w:rPr>
        <w:t xml:space="preserve">Payments for ecosystem services (PES) are key strategies for mitigating deforestation and improving ecosystem services (SE). However, PES’ long-term effects and their impact on ES provision have seldom been evaluated. Therefore, this paper evaluated the additionality and permanence of induced effects by three PES programs on avoided forest loss and the provision of two ES (i.e. water yield and sediment retention), in Southern Oaxaca (Mexico) from 2003-19. By developing quasi-experimental methods, the approach compared ES and deforestation changes between enrolled areas and credible counterfactuals based on rejected land, during pre- and post-PES intervention. Landsat satellite data was analyzed to estimate annual forest loss, while ES were spatially quantified using </w:t>
      </w:r>
      <w:proofErr w:type="spellStart"/>
      <w:r>
        <w:rPr>
          <w:rFonts w:ascii="Times New Roman" w:hAnsi="Times New Roman" w:cs="Times New Roman"/>
        </w:rPr>
        <w:t>InVEST</w:t>
      </w:r>
      <w:proofErr w:type="spellEnd"/>
      <w:r>
        <w:rPr>
          <w:rFonts w:ascii="Times New Roman" w:hAnsi="Times New Roman" w:cs="Times New Roman"/>
        </w:rPr>
        <w:t xml:space="preserve">. Covariate-matching </w:t>
      </w:r>
      <w:r>
        <w:rPr>
          <w:rFonts w:ascii="Times New Roman" w:hAnsi="Times New Roman" w:cs="Times New Roman"/>
        </w:rPr>
        <w:lastRenderedPageBreak/>
        <w:t>and difference-in-difference estimators were used to measure the average treatment effects within areas participating: (</w:t>
      </w:r>
      <w:proofErr w:type="spellStart"/>
      <w:r w:rsidRPr="006F015E">
        <w:rPr>
          <w:rFonts w:ascii="Times New Roman" w:hAnsi="Times New Roman" w:cs="Times New Roman"/>
          <w:i/>
        </w:rPr>
        <w:t>i</w:t>
      </w:r>
      <w:proofErr w:type="spellEnd"/>
      <w:r>
        <w:rPr>
          <w:rFonts w:ascii="Times New Roman" w:hAnsi="Times New Roman" w:cs="Times New Roman"/>
        </w:rPr>
        <w:t>) in only one PES contract and (</w:t>
      </w:r>
      <w:r w:rsidRPr="00401381">
        <w:rPr>
          <w:rFonts w:ascii="Times New Roman" w:hAnsi="Times New Roman" w:cs="Times New Roman"/>
          <w:i/>
        </w:rPr>
        <w:t>ii</w:t>
      </w:r>
      <w:r>
        <w:rPr>
          <w:rFonts w:ascii="Times New Roman" w:hAnsi="Times New Roman" w:cs="Times New Roman"/>
        </w:rPr>
        <w:t>) in the long-term with two or the three contracts, both during and after payment gaps. Results showed a positive but small impact on avoided forest loss and additional sediment retention. Yet, deforestation resumed after payments ceased, such that forest gains were only maintained in enrolled areas when continuous payments were being received, whilst erosion control was permanent after PES were discontinued. Despite these gains, PES enrollment led to significant decreases in the annual water yield, suggesting trade-offs between avoided forest loss and water availability. The findings contribute to the understanding of long-term PES outcomes and the expanding realm of spatially explicit quantification of ES, for improving impact evaluations of conservation policies and designs for future PES programs.</w:t>
      </w:r>
    </w:p>
    <w:p w:rsidR="003A1F4B" w:rsidRDefault="003A1F4B" w:rsidP="003A1F4B">
      <w:pPr>
        <w:pStyle w:val="western"/>
        <w:suppressAutoHyphens/>
        <w:spacing w:before="0" w:beforeAutospacing="0" w:after="0" w:line="360" w:lineRule="auto"/>
        <w:ind w:firstLine="720"/>
        <w:rPr>
          <w:rFonts w:ascii="Times New Roman" w:hAnsi="Times New Roman" w:cs="Times New Roman"/>
        </w:rPr>
      </w:pPr>
      <w:r w:rsidRPr="000C5DE8">
        <w:rPr>
          <w:rFonts w:ascii="Times New Roman" w:hAnsi="Times New Roman" w:cs="Times New Roman"/>
          <w:b/>
          <w:i/>
        </w:rPr>
        <w:t>Keywords</w:t>
      </w:r>
      <w:r w:rsidRPr="000C5DE8">
        <w:rPr>
          <w:rFonts w:ascii="Times New Roman" w:hAnsi="Times New Roman" w:cs="Times New Roman"/>
          <w:b/>
        </w:rPr>
        <w:t>:</w:t>
      </w:r>
      <w:r>
        <w:rPr>
          <w:rFonts w:ascii="Times New Roman" w:hAnsi="Times New Roman" w:cs="Times New Roman"/>
        </w:rPr>
        <w:t xml:space="preserve"> </w:t>
      </w:r>
      <w:r w:rsidRPr="00945DC7">
        <w:rPr>
          <w:rFonts w:ascii="Times New Roman" w:hAnsi="Times New Roman" w:cs="Times New Roman"/>
          <w:i/>
        </w:rPr>
        <w:t xml:space="preserve">biophysical spatial patterns; </w:t>
      </w:r>
      <w:r>
        <w:rPr>
          <w:rFonts w:ascii="Times New Roman" w:hAnsi="Times New Roman" w:cs="Times New Roman"/>
          <w:i/>
        </w:rPr>
        <w:t xml:space="preserve">conservation incentives; environmental policy; </w:t>
      </w:r>
      <w:r w:rsidRPr="00945DC7">
        <w:rPr>
          <w:rFonts w:ascii="Times New Roman" w:hAnsi="Times New Roman" w:cs="Times New Roman"/>
          <w:i/>
        </w:rPr>
        <w:t>impact evaluation</w:t>
      </w:r>
      <w:r>
        <w:rPr>
          <w:rFonts w:ascii="Times New Roman" w:hAnsi="Times New Roman" w:cs="Times New Roman"/>
          <w:i/>
        </w:rPr>
        <w:t>s</w:t>
      </w:r>
      <w:r w:rsidRPr="00945DC7">
        <w:rPr>
          <w:rFonts w:ascii="Times New Roman" w:hAnsi="Times New Roman" w:cs="Times New Roman"/>
          <w:i/>
        </w:rPr>
        <w:t>;</w:t>
      </w:r>
      <w:r>
        <w:rPr>
          <w:rFonts w:ascii="Times New Roman" w:hAnsi="Times New Roman" w:cs="Times New Roman"/>
          <w:i/>
        </w:rPr>
        <w:t xml:space="preserve"> </w:t>
      </w:r>
      <w:r w:rsidRPr="00945DC7">
        <w:rPr>
          <w:rFonts w:ascii="Times New Roman" w:hAnsi="Times New Roman" w:cs="Times New Roman"/>
          <w:i/>
        </w:rPr>
        <w:t>per</w:t>
      </w:r>
      <w:r>
        <w:rPr>
          <w:rFonts w:ascii="Times New Roman" w:hAnsi="Times New Roman" w:cs="Times New Roman"/>
          <w:i/>
        </w:rPr>
        <w:t>manence; trade-offs.</w:t>
      </w:r>
    </w:p>
    <w:bookmarkEnd w:id="2"/>
    <w:p w:rsidR="00064D15" w:rsidRPr="003A1F4B" w:rsidRDefault="00064D15">
      <w:pPr>
        <w:rPr>
          <w:lang w:val="en-US"/>
        </w:rPr>
      </w:pPr>
    </w:p>
    <w:sectPr w:rsidR="00064D15" w:rsidRPr="003A1F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27F39"/>
    <w:multiLevelType w:val="hybridMultilevel"/>
    <w:tmpl w:val="0EECF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4B"/>
    <w:rsid w:val="00064D15"/>
    <w:rsid w:val="000F1F2A"/>
    <w:rsid w:val="003A1F4B"/>
    <w:rsid w:val="0066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6880"/>
  <w15:chartTrackingRefBased/>
  <w15:docId w15:val="{997FEE8B-6C1F-4CF9-A949-12B96ADB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F4B"/>
    <w:pPr>
      <w:suppressAutoHyphens/>
      <w:spacing w:after="0" w:line="240" w:lineRule="auto"/>
    </w:pPr>
    <w:rPr>
      <w:rFonts w:ascii="Liberation Serif" w:eastAsia="NSimSun" w:hAnsi="Liberation Serif" w:cs="Arial"/>
      <w:kern w:val="2"/>
      <w:sz w:val="24"/>
      <w:szCs w:val="24"/>
      <w:lang w:val="es-MX"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qFormat/>
    <w:rsid w:val="003A1F4B"/>
    <w:pPr>
      <w:suppressAutoHyphens w:val="0"/>
      <w:spacing w:beforeAutospacing="1" w:after="119"/>
    </w:pPr>
    <w:rPr>
      <w:rFonts w:ascii="Times New Roman" w:eastAsia="Times New Roman" w:hAnsi="Times New Roman" w:cs="Times New Roman"/>
      <w:color w:val="000000"/>
      <w:kern w:val="0"/>
      <w:lang w:val="en-US" w:eastAsia="en-US" w:bidi="ar-SA"/>
    </w:rPr>
  </w:style>
  <w:style w:type="paragraph" w:styleId="Prrafodelista">
    <w:name w:val="List Paragraph"/>
    <w:basedOn w:val="Normal"/>
    <w:uiPriority w:val="34"/>
    <w:qFormat/>
    <w:rsid w:val="003A1F4B"/>
    <w:pPr>
      <w:ind w:left="720"/>
      <w:contextualSpacing/>
    </w:pPr>
    <w:rPr>
      <w:rFonts w:cs="Mangal"/>
      <w:szCs w:val="21"/>
    </w:rPr>
  </w:style>
  <w:style w:type="paragraph" w:customStyle="1" w:styleId="western">
    <w:name w:val="western"/>
    <w:basedOn w:val="Normal"/>
    <w:rsid w:val="003A1F4B"/>
    <w:pPr>
      <w:suppressAutoHyphens w:val="0"/>
      <w:spacing w:before="100" w:beforeAutospacing="1" w:after="142" w:line="276" w:lineRule="auto"/>
    </w:pPr>
    <w:rPr>
      <w:rFonts w:eastAsia="Times New Roman" w:cs="Liberation Serif"/>
      <w:color w:val="000000"/>
      <w:kern w:val="0"/>
      <w:lang w:val="en-US" w:eastAsia="en-US" w:bidi="ar-SA"/>
    </w:rPr>
  </w:style>
  <w:style w:type="character" w:styleId="Hipervnculo">
    <w:name w:val="Hyperlink"/>
    <w:basedOn w:val="Fuentedeprrafopredeter"/>
    <w:uiPriority w:val="99"/>
    <w:unhideWhenUsed/>
    <w:rsid w:val="003A1F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2460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Nacional Autonoma de México</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1</cp:revision>
  <dcterms:created xsi:type="dcterms:W3CDTF">2024-02-22T00:47:00Z</dcterms:created>
  <dcterms:modified xsi:type="dcterms:W3CDTF">2024-02-22T00:48:00Z</dcterms:modified>
</cp:coreProperties>
</file>