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jc w:val="center"/>
        <w:rPr>
          <w:rFonts w:ascii="Times New Roman" w:hAnsi="Times New Roman"/>
        </w:rPr>
      </w:pPr>
      <w:r>
        <w:rPr>
          <w:rFonts w:ascii="Times New Roman" w:hAnsi="Times New Roman"/>
          <w:b/>
          <w:bCs/>
          <w:lang w:val="es-ES_tradnl"/>
        </w:rPr>
        <w:t>Movilidad Humana y Crisis Climática: Reflexiones Conceptuales desde el Sur Global</w:t>
      </w:r>
    </w:p>
    <w:p>
      <w:pPr>
        <w:pStyle w:val="Normal"/>
        <w:spacing w:lineRule="auto" w:line="276"/>
        <w:jc w:val="both"/>
        <w:rPr>
          <w:lang w:val="es-ES_tradnl"/>
        </w:rPr>
      </w:pPr>
      <w:r>
        <w:rPr>
          <w:lang w:val="es-ES_tradnl"/>
        </w:rPr>
      </w:r>
    </w:p>
    <w:p>
      <w:pPr>
        <w:pStyle w:val="Normal"/>
        <w:spacing w:lineRule="auto" w:line="276"/>
        <w:jc w:val="both"/>
        <w:rPr>
          <w:rFonts w:ascii="Times New Roman" w:hAnsi="Times New Roman"/>
          <w:sz w:val="22"/>
          <w:szCs w:val="22"/>
        </w:rPr>
      </w:pPr>
      <w:r>
        <w:rPr>
          <w:rFonts w:ascii="Times New Roman" w:hAnsi="Times New Roman"/>
          <w:sz w:val="22"/>
          <w:szCs w:val="22"/>
          <w:lang w:val="es-ES_tradnl"/>
        </w:rPr>
        <w:t>En este foro de discusión, nos proponemos explorar la intersección entre la movilidad humana y las crisis climáticas, con especial atención en la Región Andina, contrastando las perspectivas de los estudios ambientales y migratorios. Este esfuerzo busca problematizar las complejidades que emergen al converger estos campos, considerando las dinámicas específicas del Sur Global.</w:t>
      </w:r>
    </w:p>
    <w:p>
      <w:pPr>
        <w:pStyle w:val="Normal"/>
        <w:spacing w:lineRule="auto" w:line="276"/>
        <w:jc w:val="both"/>
        <w:rPr>
          <w:rFonts w:ascii="Times New Roman" w:hAnsi="Times New Roman"/>
          <w:sz w:val="22"/>
          <w:szCs w:val="22"/>
          <w:lang w:val="es-ES_tradnl"/>
        </w:rPr>
      </w:pPr>
      <w:r>
        <w:rPr>
          <w:rFonts w:ascii="Times New Roman" w:hAnsi="Times New Roman"/>
          <w:sz w:val="22"/>
          <w:szCs w:val="22"/>
          <w:lang w:val="es-ES_tradnl"/>
        </w:rPr>
      </w:r>
    </w:p>
    <w:p>
      <w:pPr>
        <w:pStyle w:val="Normal"/>
        <w:spacing w:lineRule="auto" w:line="276"/>
        <w:jc w:val="both"/>
        <w:rPr>
          <w:rFonts w:ascii="Times New Roman" w:hAnsi="Times New Roman"/>
          <w:sz w:val="22"/>
          <w:szCs w:val="22"/>
        </w:rPr>
      </w:pPr>
      <w:r>
        <w:rPr>
          <w:rFonts w:ascii="Times New Roman" w:hAnsi="Times New Roman"/>
          <w:sz w:val="22"/>
          <w:szCs w:val="22"/>
          <w:lang w:val="es-ES_tradnl"/>
        </w:rPr>
        <w:t>Comenzaremos reconociendo que las movilidades en relación con las cuestiones ambientales y climáticas han sido objeto de un activo debate por parte de agencias internacionales de cooperación, como la OIM, el ACNUR y el PNUD, entre otras.</w:t>
      </w:r>
      <w:r>
        <w:rPr>
          <w:rFonts w:ascii="Times New Roman" w:hAnsi="Times New Roman"/>
          <w:sz w:val="22"/>
          <w:szCs w:val="22"/>
          <w:lang w:val="es-ES_tradnl"/>
        </w:rPr>
        <w:t>Por el contrario</w:t>
      </w:r>
      <w:r>
        <w:rPr>
          <w:rFonts w:ascii="Times New Roman" w:hAnsi="Times New Roman"/>
          <w:sz w:val="22"/>
          <w:szCs w:val="22"/>
          <w:lang w:val="es-ES_tradnl"/>
        </w:rPr>
        <w:t>, los esfuerzos académicos, aunque igualmente cruciales, han sido menos visibles.</w:t>
      </w:r>
    </w:p>
    <w:p>
      <w:pPr>
        <w:pStyle w:val="Normal"/>
        <w:spacing w:lineRule="auto" w:line="276"/>
        <w:jc w:val="both"/>
        <w:rPr>
          <w:rFonts w:ascii="Times New Roman" w:hAnsi="Times New Roman"/>
          <w:sz w:val="22"/>
          <w:szCs w:val="22"/>
          <w:lang w:val="es-ES_tradnl"/>
        </w:rPr>
      </w:pPr>
      <w:r>
        <w:rPr>
          <w:rFonts w:ascii="Times New Roman" w:hAnsi="Times New Roman"/>
          <w:sz w:val="22"/>
          <w:szCs w:val="22"/>
          <w:lang w:val="es-ES_tradnl"/>
        </w:rPr>
      </w:r>
    </w:p>
    <w:p>
      <w:pPr>
        <w:pStyle w:val="Normal"/>
        <w:spacing w:lineRule="auto" w:line="276"/>
        <w:jc w:val="both"/>
        <w:rPr>
          <w:rFonts w:ascii="Times New Roman" w:hAnsi="Times New Roman"/>
          <w:sz w:val="22"/>
          <w:szCs w:val="22"/>
        </w:rPr>
      </w:pPr>
      <w:r>
        <w:rPr>
          <w:rFonts w:ascii="Times New Roman" w:hAnsi="Times New Roman"/>
          <w:sz w:val="22"/>
          <w:szCs w:val="22"/>
          <w:lang w:val="es-ES_tradnl"/>
        </w:rPr>
        <w:t>La literatura destaca, en primera instancia, la conceptualización del llamado "desplazamiento sin nombre" propuesto por Odriozola (2017). Surge la necesidad de determinar la mejor manera de categorizar este fenómeno: ¿desplazamiento, refugio o migración? ¿Ambiental o climático? Este interés conceptual no carece de implicaciones políticas, ya que estas etiquetas influyen en las percepciones sociales y en las respuestas y políticas públicas hacia la movilidad.</w:t>
      </w:r>
    </w:p>
    <w:p>
      <w:pPr>
        <w:pStyle w:val="Normal"/>
        <w:spacing w:lineRule="auto" w:line="276"/>
        <w:jc w:val="both"/>
        <w:rPr>
          <w:rFonts w:ascii="Times New Roman" w:hAnsi="Times New Roman"/>
          <w:sz w:val="22"/>
          <w:szCs w:val="22"/>
          <w:lang w:val="es-ES_tradnl"/>
        </w:rPr>
      </w:pPr>
      <w:r>
        <w:rPr>
          <w:rFonts w:ascii="Times New Roman" w:hAnsi="Times New Roman"/>
          <w:sz w:val="22"/>
          <w:szCs w:val="22"/>
          <w:lang w:val="es-ES_tradnl"/>
        </w:rPr>
      </w:r>
    </w:p>
    <w:p>
      <w:pPr>
        <w:pStyle w:val="Normal"/>
        <w:spacing w:lineRule="auto" w:line="276"/>
        <w:jc w:val="both"/>
        <w:rPr>
          <w:rFonts w:ascii="Times New Roman" w:hAnsi="Times New Roman"/>
          <w:sz w:val="22"/>
          <w:szCs w:val="22"/>
        </w:rPr>
      </w:pPr>
      <w:r>
        <w:rPr>
          <w:rFonts w:ascii="Times New Roman" w:hAnsi="Times New Roman"/>
          <w:sz w:val="22"/>
          <w:szCs w:val="22"/>
          <w:lang w:val="es-ES_tradnl"/>
        </w:rPr>
        <w:t>Desde un enfoque metodológico, nos interesa explorar el aporte de estudios situados en el Sur Global, como los realizados por Zicgraf (2016) en África occidental, Bolaños y Calderón (2021) en Centroamérica, o la Red Sudamericana para las Migraciones Ambientales (RESAMA). Estos estudios permiten comprender críticamente las categorías del campo de estudio (desplazamiento, migración, inmovilidad, mitigación, adaptación, etc.), así como explorar metodologías de investigación alternativas como la investigación acción participativa y las cartografías críticas.</w:t>
      </w:r>
    </w:p>
    <w:p>
      <w:pPr>
        <w:pStyle w:val="Normal"/>
        <w:spacing w:lineRule="auto" w:line="276"/>
        <w:jc w:val="both"/>
        <w:rPr>
          <w:rFonts w:ascii="Times New Roman" w:hAnsi="Times New Roman"/>
          <w:sz w:val="22"/>
          <w:szCs w:val="22"/>
          <w:lang w:val="es-ES_tradnl"/>
        </w:rPr>
      </w:pPr>
      <w:r>
        <w:rPr>
          <w:rFonts w:ascii="Times New Roman" w:hAnsi="Times New Roman"/>
          <w:sz w:val="22"/>
          <w:szCs w:val="22"/>
          <w:lang w:val="es-ES_tradnl"/>
        </w:rPr>
      </w:r>
    </w:p>
    <w:p>
      <w:pPr>
        <w:pStyle w:val="Normal"/>
        <w:spacing w:lineRule="auto" w:line="276"/>
        <w:jc w:val="both"/>
        <w:rPr>
          <w:rFonts w:ascii="Times New Roman" w:hAnsi="Times New Roman"/>
          <w:sz w:val="22"/>
          <w:szCs w:val="22"/>
        </w:rPr>
      </w:pPr>
      <w:r>
        <w:rPr>
          <w:rFonts w:ascii="Times New Roman" w:hAnsi="Times New Roman"/>
          <w:sz w:val="22"/>
          <w:szCs w:val="22"/>
          <w:lang w:val="es-ES_tradnl"/>
        </w:rPr>
        <w:t>En otra perspectiva, se destaca que una parte importante de los estudios sobre cambio climático ve en las movilidades humanas una medida de adaptación. Autores como McLeman, Schade y Faist (2015) sostienen que la relación entre migración y adaptación es tan compleja y multifacética como la relación entre migración y cambio ambiental. Además, las desigualdades ambientales, sociales y económicas pueden ser tanto un estímulo como una consecuencia de la migración ambiental, especialmente en territorios marcados por la desigualdad como los del Sur Global.</w:t>
      </w:r>
    </w:p>
    <w:p>
      <w:pPr>
        <w:pStyle w:val="Normal"/>
        <w:spacing w:lineRule="auto" w:line="276"/>
        <w:jc w:val="both"/>
        <w:rPr>
          <w:rFonts w:ascii="Times New Roman" w:hAnsi="Times New Roman"/>
          <w:sz w:val="22"/>
          <w:szCs w:val="22"/>
          <w:lang w:val="es-ES_tradnl"/>
        </w:rPr>
      </w:pPr>
      <w:r>
        <w:rPr>
          <w:rFonts w:ascii="Times New Roman" w:hAnsi="Times New Roman"/>
          <w:sz w:val="22"/>
          <w:szCs w:val="22"/>
          <w:lang w:val="es-ES_tradnl"/>
        </w:rPr>
      </w:r>
    </w:p>
    <w:p>
      <w:pPr>
        <w:pStyle w:val="Normal"/>
        <w:spacing w:lineRule="auto" w:line="276"/>
        <w:jc w:val="both"/>
        <w:rPr>
          <w:rFonts w:ascii="Times New Roman" w:hAnsi="Times New Roman"/>
          <w:sz w:val="22"/>
          <w:szCs w:val="22"/>
        </w:rPr>
      </w:pPr>
      <w:r>
        <w:rPr>
          <w:rFonts w:ascii="Times New Roman" w:hAnsi="Times New Roman"/>
          <w:sz w:val="22"/>
          <w:szCs w:val="22"/>
          <w:lang w:val="es-ES_tradnl"/>
        </w:rPr>
        <w:t xml:space="preserve">La tensión entre estrategias de adaptación en el lugar y la migración como estrategia de afrontamiento nos lleva a reflexionar sobre la resiliencia comunitaria y la movilidad individual. ¿Cómo pueden analizarse estas estrategias en el contexto de las crisis climáticas, reconociendo </w:t>
      </w:r>
      <w:r>
        <w:rPr>
          <w:rFonts w:ascii="Times New Roman" w:hAnsi="Times New Roman"/>
          <w:sz w:val="22"/>
          <w:szCs w:val="22"/>
          <w:lang w:val="es-ES_tradnl"/>
        </w:rPr>
        <w:t>a</w:t>
      </w:r>
      <w:r>
        <w:rPr>
          <w:rFonts w:ascii="Times New Roman" w:hAnsi="Times New Roman"/>
          <w:sz w:val="22"/>
          <w:szCs w:val="22"/>
          <w:lang w:val="es-ES_tradnl"/>
        </w:rPr>
        <w:t xml:space="preserve"> la migración como una respuesta legítima?</w:t>
      </w:r>
    </w:p>
    <w:p>
      <w:pPr>
        <w:pStyle w:val="Normal"/>
        <w:spacing w:lineRule="auto" w:line="276"/>
        <w:jc w:val="both"/>
        <w:rPr>
          <w:rFonts w:ascii="Times New Roman" w:hAnsi="Times New Roman"/>
          <w:sz w:val="22"/>
          <w:szCs w:val="22"/>
          <w:lang w:val="es-ES_tradnl"/>
        </w:rPr>
      </w:pPr>
      <w:r>
        <w:rPr>
          <w:rFonts w:ascii="Times New Roman" w:hAnsi="Times New Roman"/>
          <w:sz w:val="22"/>
          <w:szCs w:val="22"/>
          <w:lang w:val="es-ES_tradnl"/>
        </w:rPr>
      </w:r>
    </w:p>
    <w:p>
      <w:pPr>
        <w:pStyle w:val="Normal"/>
        <w:spacing w:lineRule="auto" w:line="276"/>
        <w:jc w:val="both"/>
        <w:rPr>
          <w:rFonts w:ascii="Times New Roman" w:hAnsi="Times New Roman"/>
          <w:sz w:val="22"/>
          <w:szCs w:val="22"/>
        </w:rPr>
      </w:pPr>
      <w:r>
        <w:rPr>
          <w:rFonts w:ascii="Times New Roman" w:hAnsi="Times New Roman"/>
          <w:sz w:val="22"/>
          <w:szCs w:val="22"/>
          <w:lang w:val="es-ES_tradnl"/>
        </w:rPr>
        <w:t>Otra línea de análisis que interesa a este espacio alude a cómo las movilidades, en particular las infraestructuras de control fronterizo, pueden generar impactos ambientales desfavorables, al sobrecargar ciertos ecosistemas que funcionan como pasos irregularizados, por ejemplo la Selva del Darién u otros espacios de frontera, donde la retención estatal de los flujos migrantes -además de producir calamidades humanas ampliamente denunciadas desde los estudios migratorios- pueden exacerbar problemas ambientales como la producción de residuos, contaminación de suelos y agua, entre otros, tal y como muestra Miller (2021) en el caso de la frontera entre México y Estados Unidos. Este aspecto ha sido menos estudiado en la Región Andina, pero podría ofrecer valiosas perspectivas en este espacio de debate.</w:t>
      </w:r>
    </w:p>
    <w:p>
      <w:pPr>
        <w:pStyle w:val="Normal"/>
        <w:spacing w:lineRule="auto" w:line="276"/>
        <w:jc w:val="both"/>
        <w:rPr>
          <w:rFonts w:ascii="Times New Roman" w:hAnsi="Times New Roman"/>
          <w:sz w:val="22"/>
          <w:szCs w:val="22"/>
          <w:lang w:val="es-ES_tradnl"/>
        </w:rPr>
      </w:pPr>
      <w:r>
        <w:rPr>
          <w:rFonts w:ascii="Times New Roman" w:hAnsi="Times New Roman"/>
          <w:sz w:val="22"/>
          <w:szCs w:val="22"/>
          <w:lang w:val="es-ES_tradnl"/>
        </w:rPr>
      </w:r>
    </w:p>
    <w:p>
      <w:pPr>
        <w:pStyle w:val="Normal"/>
        <w:spacing w:lineRule="auto" w:line="276"/>
        <w:jc w:val="both"/>
        <w:rPr>
          <w:rFonts w:ascii="Times New Roman" w:hAnsi="Times New Roman"/>
          <w:sz w:val="22"/>
          <w:szCs w:val="22"/>
        </w:rPr>
      </w:pPr>
      <w:r>
        <w:rPr>
          <w:rFonts w:ascii="Times New Roman" w:hAnsi="Times New Roman"/>
          <w:sz w:val="22"/>
          <w:szCs w:val="22"/>
          <w:lang w:val="es-ES_tradnl"/>
        </w:rPr>
        <w:t>Desde una perspectiva del Sur Global, no se puede pasar por alto las múltiples desigualdades asociadas a este fenómeno. Para problematizarlas, acudimos al desarrollo de categorías como la justicia climática y la justicia migrante. Ambas reconocen cómo las estructuras de poder global generan impactos y responsabilidades diferenciadas en el hábitat local y en las posibilidades y condiciones de (in)movilidad de las personas en el mundo.</w:t>
      </w:r>
    </w:p>
    <w:p>
      <w:pPr>
        <w:pStyle w:val="Normal"/>
        <w:spacing w:lineRule="auto" w:line="276"/>
        <w:jc w:val="both"/>
        <w:rPr>
          <w:rFonts w:ascii="Times New Roman" w:hAnsi="Times New Roman"/>
          <w:sz w:val="22"/>
          <w:szCs w:val="22"/>
          <w:lang w:val="es-ES_tradnl"/>
        </w:rPr>
      </w:pPr>
      <w:r>
        <w:rPr>
          <w:rFonts w:ascii="Times New Roman" w:hAnsi="Times New Roman"/>
          <w:sz w:val="22"/>
          <w:szCs w:val="22"/>
          <w:lang w:val="es-ES_tradnl"/>
        </w:rPr>
      </w:r>
    </w:p>
    <w:p>
      <w:pPr>
        <w:pStyle w:val="Normal"/>
        <w:spacing w:lineRule="auto" w:line="276"/>
        <w:jc w:val="both"/>
        <w:rPr>
          <w:rFonts w:ascii="Times New Roman" w:hAnsi="Times New Roman"/>
          <w:sz w:val="22"/>
          <w:szCs w:val="22"/>
        </w:rPr>
      </w:pPr>
      <w:r>
        <w:rPr>
          <w:rFonts w:ascii="Times New Roman" w:hAnsi="Times New Roman"/>
          <w:sz w:val="22"/>
          <w:szCs w:val="22"/>
          <w:lang w:val="es-ES_tradnl"/>
        </w:rPr>
        <w:t>En este diálogo, invitamos a académicos/</w:t>
      </w:r>
      <w:r>
        <w:rPr>
          <w:rFonts w:ascii="Times New Roman" w:hAnsi="Times New Roman"/>
          <w:sz w:val="22"/>
          <w:szCs w:val="22"/>
          <w:lang w:val="es-ES_tradnl"/>
        </w:rPr>
        <w:t>as</w:t>
      </w:r>
      <w:r>
        <w:rPr>
          <w:rFonts w:ascii="Times New Roman" w:hAnsi="Times New Roman"/>
          <w:sz w:val="22"/>
          <w:szCs w:val="22"/>
          <w:lang w:val="es-ES_tradnl"/>
        </w:rPr>
        <w:t>, investigadores/</w:t>
      </w:r>
      <w:r>
        <w:rPr>
          <w:rFonts w:ascii="Times New Roman" w:hAnsi="Times New Roman"/>
          <w:sz w:val="22"/>
          <w:szCs w:val="22"/>
          <w:lang w:val="es-ES_tradnl"/>
        </w:rPr>
        <w:t>as</w:t>
      </w:r>
      <w:r>
        <w:rPr>
          <w:rFonts w:ascii="Times New Roman" w:hAnsi="Times New Roman"/>
          <w:sz w:val="22"/>
          <w:szCs w:val="22"/>
          <w:lang w:val="es-ES_tradnl"/>
        </w:rPr>
        <w:t xml:space="preserve"> y profesionales a compartir sus conocimientos interdisciplinarios. A través de la reflexión conjunta, buscamos enriquecer nuestra comprensión de la complejidad de la movilidad humana en el contexto de las crisis climáticas, considerando las realidades del Sur Global.</w:t>
      </w:r>
    </w:p>
    <w:p>
      <w:pPr>
        <w:pStyle w:val="Normal"/>
        <w:spacing w:lineRule="auto" w:line="276"/>
        <w:jc w:val="both"/>
        <w:rPr>
          <w:rFonts w:ascii="Times New Roman" w:hAnsi="Times New Roman"/>
          <w:sz w:val="22"/>
          <w:szCs w:val="22"/>
          <w:lang w:val="es-ES_tradnl"/>
        </w:rPr>
      </w:pPr>
      <w:r>
        <w:rPr>
          <w:rFonts w:ascii="Times New Roman" w:hAnsi="Times New Roman"/>
          <w:sz w:val="22"/>
          <w:szCs w:val="22"/>
          <w:lang w:val="es-ES_tradnl"/>
        </w:rPr>
      </w:r>
    </w:p>
    <w:p>
      <w:pPr>
        <w:pStyle w:val="Normal"/>
        <w:spacing w:lineRule="auto" w:line="276"/>
        <w:jc w:val="both"/>
        <w:rPr>
          <w:rFonts w:ascii="Times New Roman" w:hAnsi="Times New Roman"/>
          <w:sz w:val="22"/>
          <w:szCs w:val="22"/>
        </w:rPr>
      </w:pPr>
      <w:r>
        <w:rPr>
          <w:rFonts w:ascii="Times New Roman" w:hAnsi="Times New Roman"/>
          <w:b/>
          <w:bCs/>
          <w:sz w:val="22"/>
          <w:szCs w:val="22"/>
          <w:lang w:val="es-ES_tradnl"/>
        </w:rPr>
        <w:t xml:space="preserve">Referencias </w:t>
      </w:r>
    </w:p>
    <w:p>
      <w:pPr>
        <w:pStyle w:val="Normal"/>
        <w:pBdr/>
        <w:spacing w:lineRule="auto" w:line="276"/>
        <w:ind w:left="709" w:hanging="709"/>
        <w:jc w:val="both"/>
        <w:rPr>
          <w:rFonts w:ascii="Times New Roman" w:hAnsi="Times New Roman"/>
          <w:sz w:val="22"/>
          <w:szCs w:val="22"/>
        </w:rPr>
      </w:pPr>
      <w:r>
        <w:rPr>
          <w:rFonts w:eastAsia="Times New Roman" w:cs="Times New Roman" w:ascii="Times New Roman" w:hAnsi="Times New Roman"/>
          <w:sz w:val="22"/>
          <w:szCs w:val="22"/>
        </w:rPr>
        <w:t>Bolaños-Guerra, Bernardo y Rafael Calderón-Contreras (2021). “Desafíos de resiliencia para disminuir la migración inducida por causas ambientales desde Centroamérica”. Revista de Estudios Sociales 76: 7-23.</w:t>
      </w:r>
    </w:p>
    <w:p>
      <w:pPr>
        <w:pStyle w:val="Normal"/>
        <w:pBdr/>
        <w:spacing w:lineRule="auto" w:line="276"/>
        <w:ind w:left="709" w:hanging="709"/>
        <w:jc w:val="both"/>
        <w:rPr>
          <w:rFonts w:ascii="Times New Roman" w:hAnsi="Times New Roman"/>
          <w:sz w:val="22"/>
          <w:szCs w:val="22"/>
        </w:rPr>
      </w:pPr>
      <w:r>
        <w:rPr>
          <w:rFonts w:eastAsia="Times New Roman" w:cs="Times New Roman" w:ascii="Times New Roman" w:hAnsi="Times New Roman"/>
          <w:sz w:val="22"/>
          <w:szCs w:val="22"/>
          <w:lang w:val="en-US" w:eastAsia="es-ES_tradnl"/>
        </w:rPr>
        <w:t>McLeman, R., Schade, J. &amp; Faist, T. (eds.) (2015). Environmental Migration and Social Inequality, Dordrecht: Springer</w:t>
      </w:r>
    </w:p>
    <w:p>
      <w:pPr>
        <w:pStyle w:val="Normal"/>
        <w:pBdr/>
        <w:spacing w:lineRule="auto" w:line="276"/>
        <w:ind w:left="709" w:hanging="709"/>
        <w:jc w:val="both"/>
        <w:rPr>
          <w:rFonts w:ascii="Times New Roman" w:hAnsi="Times New Roman"/>
          <w:sz w:val="22"/>
          <w:szCs w:val="22"/>
        </w:rPr>
      </w:pPr>
      <w:r>
        <w:rPr>
          <w:rFonts w:eastAsia="Times New Roman" w:cs="Times New Roman" w:ascii="Times New Roman" w:hAnsi="Times New Roman"/>
          <w:sz w:val="22"/>
          <w:szCs w:val="22"/>
          <w:lang w:val="en-US"/>
        </w:rPr>
        <w:t>Miller, T (2021) The Climate-Induced U.S. Border, NACLA Report on the Americas, 53:3, 220-225, https://doi.org/10.1080/10714839.2021.1959812</w:t>
      </w:r>
    </w:p>
    <w:p>
      <w:pPr>
        <w:pStyle w:val="Normal"/>
        <w:pBdr/>
        <w:spacing w:lineRule="auto" w:line="276"/>
        <w:ind w:left="709" w:hanging="709"/>
        <w:jc w:val="both"/>
        <w:rPr>
          <w:rFonts w:ascii="Times New Roman" w:hAnsi="Times New Roman"/>
          <w:sz w:val="22"/>
          <w:szCs w:val="22"/>
        </w:rPr>
      </w:pPr>
      <w:r>
        <w:rPr>
          <w:rFonts w:eastAsia="Times New Roman" w:cs="Times New Roman" w:ascii="Times New Roman" w:hAnsi="Times New Roman"/>
          <w:sz w:val="22"/>
          <w:szCs w:val="22"/>
        </w:rPr>
        <w:t>Odriozola, I. (2017). Desplazados sin nombre: dificultades y desafíos en torno a una definición universal de “refugiados climáticos”. </w:t>
      </w:r>
      <w:r>
        <w:rPr>
          <w:rFonts w:eastAsia="Times New Roman" w:cs="Times New Roman" w:ascii="Times New Roman" w:hAnsi="Times New Roman"/>
          <w:i/>
          <w:sz w:val="22"/>
          <w:szCs w:val="22"/>
        </w:rPr>
        <w:t>Revista Jurídica de Buenos Aires</w:t>
      </w:r>
      <w:r>
        <w:rPr>
          <w:rFonts w:eastAsia="Times New Roman" w:cs="Times New Roman" w:ascii="Times New Roman" w:hAnsi="Times New Roman"/>
          <w:sz w:val="22"/>
          <w:szCs w:val="22"/>
        </w:rPr>
        <w:t>, </w:t>
      </w:r>
      <w:r>
        <w:rPr>
          <w:rFonts w:eastAsia="Times New Roman" w:cs="Times New Roman" w:ascii="Times New Roman" w:hAnsi="Times New Roman"/>
          <w:i/>
          <w:sz w:val="22"/>
          <w:szCs w:val="22"/>
        </w:rPr>
        <w:t>42</w:t>
      </w:r>
      <w:r>
        <w:rPr>
          <w:rFonts w:eastAsia="Times New Roman" w:cs="Times New Roman" w:ascii="Times New Roman" w:hAnsi="Times New Roman"/>
          <w:sz w:val="22"/>
          <w:szCs w:val="22"/>
        </w:rPr>
        <w:t>(95), 87-112.</w:t>
      </w:r>
    </w:p>
    <w:p>
      <w:pPr>
        <w:pStyle w:val="Normal"/>
        <w:pBdr/>
        <w:spacing w:lineRule="auto" w:line="276"/>
        <w:ind w:left="709" w:hanging="709"/>
        <w:jc w:val="both"/>
        <w:rPr>
          <w:rFonts w:ascii="Times New Roman" w:hAnsi="Times New Roman"/>
          <w:sz w:val="22"/>
          <w:szCs w:val="22"/>
        </w:rPr>
      </w:pPr>
      <w:r>
        <w:rPr>
          <w:rFonts w:cs="Times New Roman" w:ascii="Times New Roman" w:hAnsi="Times New Roman"/>
          <w:sz w:val="22"/>
          <w:szCs w:val="22"/>
        </w:rPr>
        <w:t xml:space="preserve">Zickgraf, C., Vigil, S., de Longueville, F., Ozer, P. y Gemenne, F.  </w:t>
      </w:r>
      <w:r>
        <w:rPr>
          <w:rFonts w:cs="Times New Roman" w:ascii="Times New Roman" w:hAnsi="Times New Roman"/>
          <w:sz w:val="22"/>
          <w:szCs w:val="22"/>
          <w:lang w:val="en-US"/>
        </w:rPr>
        <w:t>(2016). The Impact of Vulnerability and Resilience to Environmental Changes on Mobility Patterns in West Africa</w:t>
      </w:r>
      <w:r>
        <w:rPr>
          <w:rFonts w:cs="Times New Roman" w:ascii="Times New Roman" w:hAnsi="Times New Roman"/>
          <w:i/>
          <w:iCs/>
          <w:sz w:val="22"/>
          <w:szCs w:val="22"/>
          <w:lang w:val="en-US"/>
        </w:rPr>
        <w:t>. KNOMAD Working Paper 14</w:t>
      </w:r>
      <w:r>
        <w:rPr>
          <w:rFonts w:cs="Times New Roman" w:ascii="Times New Roman" w:hAnsi="Times New Roman"/>
          <w:sz w:val="22"/>
          <w:szCs w:val="22"/>
          <w:lang w:val="en-US"/>
        </w:rPr>
        <w:t>.</w:t>
      </w:r>
    </w:p>
    <w:p>
      <w:pPr>
        <w:pStyle w:val="Normal"/>
        <w:spacing w:lineRule="auto" w:line="276"/>
        <w:jc w:val="both"/>
        <w:rPr>
          <w:rFonts w:ascii="Times New Roman" w:hAnsi="Times New Roman"/>
          <w:sz w:val="22"/>
          <w:szCs w:val="22"/>
        </w:rPr>
      </w:pPr>
      <w:r>
        <w:rPr>
          <w:rFonts w:ascii="Times New Roman" w:hAnsi="Times New Roman"/>
          <w:sz w:val="22"/>
          <w:szCs w:val="22"/>
        </w:rPr>
      </w:r>
    </w:p>
    <w:sectPr>
      <w:type w:val="nextPage"/>
      <w:pgSz w:w="11906" w:h="16838"/>
      <w:pgMar w:left="1701" w:right="1701"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 w:name="Times New Roman">
    <w:charset w:val="01"/>
    <w:family w:val="roman"/>
    <w:pitch w:val="default"/>
  </w:font>
</w:fonts>
</file>

<file path=word/settings.xml><?xml version="1.0" encoding="utf-8"?>
<w:settings xmlns:w="http://schemas.openxmlformats.org/wordprocessingml/2006/main">
  <w:zoom w:percent="21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s-EC"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4"/>
        <w:szCs w:val="24"/>
        <w:lang w:val="es-EC"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Calibri" w:hAnsi="Calibri" w:eastAsia="Calibri" w:cs="" w:asciiTheme="minorHAnsi" w:cstheme="minorBidi" w:eastAsiaTheme="minorHAnsi" w:hAnsiTheme="minorHAnsi"/>
      <w:color w:val="auto"/>
      <w:kern w:val="2"/>
      <w:sz w:val="24"/>
      <w:szCs w:val="24"/>
      <w:lang w:val="es-EC" w:eastAsia="en-US" w:bidi="ar-SA"/>
      <w14:ligatures w14:val="standardContextual"/>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ad2393"/>
    <w:rPr>
      <w:b/>
      <w:bCs/>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TablasFLACSO" w:customStyle="1">
    <w:name w:val="tablas FLACSO"/>
    <w:basedOn w:val="Normal"/>
    <w:autoRedefine/>
    <w:qFormat/>
    <w:rsid w:val="00796b0b"/>
    <w:pPr>
      <w:spacing w:lineRule="auto" w:line="360"/>
      <w:jc w:val="center"/>
    </w:pPr>
    <w:rPr>
      <w:rFonts w:ascii="Times New Roman" w:hAnsi="Times New Roman" w:eastAsia="Cambria" w:cs="Cambria"/>
      <w:b/>
      <w:color w:val="000000"/>
      <w:lang w:val="es-ES" w:eastAsia="es-ES"/>
    </w:rPr>
  </w:style>
  <w:style w:type="paragraph" w:styleId="CitalargaFLACSO" w:customStyle="1">
    <w:name w:val="Cita larga FLACSO"/>
    <w:basedOn w:val="Normal"/>
    <w:autoRedefine/>
    <w:qFormat/>
    <w:rsid w:val="00796b0b"/>
    <w:pPr>
      <w:spacing w:lineRule="auto" w:line="360"/>
      <w:ind w:left="1134" w:hanging="0"/>
    </w:pPr>
    <w:rPr>
      <w:rFonts w:ascii="Times New Roman" w:hAnsi="Times New Roman" w:eastAsia="Cambria" w:cs="Cambria"/>
      <w:color w:val="000000"/>
      <w:sz w:val="22"/>
      <w:szCs w:val="22"/>
      <w:lang w:val="es-ES" w:eastAsia="es-ES"/>
    </w:rPr>
  </w:style>
  <w:style w:type="paragraph" w:styleId="NormalWeb">
    <w:name w:val="Normal (Web)"/>
    <w:basedOn w:val="Normal"/>
    <w:uiPriority w:val="99"/>
    <w:semiHidden/>
    <w:unhideWhenUsed/>
    <w:qFormat/>
    <w:rsid w:val="00ad2393"/>
    <w:pPr>
      <w:spacing w:beforeAutospacing="1" w:afterAutospacing="1"/>
    </w:pPr>
    <w:rPr>
      <w:rFonts w:ascii="Times New Roman" w:hAnsi="Times New Roman" w:eastAsia="Times New Roman" w:cs="Times New Roman"/>
      <w:kern w:val="0"/>
      <w:lang w:eastAsia="es-MX"/>
      <w14:ligatures w14:val="none"/>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LibreOffice/7.3.7.2$Linux_X86_64 LibreOffice_project/30$Build-2</Application>
  <AppVersion>15.0000</AppVersion>
  <Pages>2</Pages>
  <Words>721</Words>
  <Characters>4429</Characters>
  <CharactersWithSpaces>5136</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2024-01-23T09:15:01Z</dcterms:created>
  <dc:creator/>
  <dc:description/>
  <dc:language>es-CO</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file>