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09" w:rsidRPr="00314FA6" w:rsidRDefault="00C84C09" w:rsidP="00314FA6">
      <w:pPr>
        <w:spacing w:line="312" w:lineRule="auto"/>
        <w:jc w:val="center"/>
        <w:rPr>
          <w:rFonts w:ascii="Times New Roman" w:hAnsi="Times New Roman" w:cs="Times New Roman"/>
          <w:b/>
          <w:sz w:val="24"/>
        </w:rPr>
      </w:pPr>
      <w:r w:rsidRPr="00314FA6">
        <w:rPr>
          <w:rFonts w:ascii="Times New Roman" w:hAnsi="Times New Roman" w:cs="Times New Roman"/>
          <w:b/>
          <w:sz w:val="24"/>
        </w:rPr>
        <w:t>"Paisajes urbanos y Gentrificación en el municipio de Atlacomulco, Edo. México."</w:t>
      </w:r>
    </w:p>
    <w:p w:rsidR="00314FA6" w:rsidRPr="00314FA6" w:rsidRDefault="00314FA6" w:rsidP="00314FA6">
      <w:pPr>
        <w:spacing w:line="312" w:lineRule="auto"/>
        <w:jc w:val="center"/>
        <w:rPr>
          <w:rFonts w:ascii="Times New Roman" w:hAnsi="Times New Roman" w:cs="Times New Roman"/>
          <w:b/>
          <w:sz w:val="24"/>
        </w:rPr>
      </w:pPr>
      <w:r w:rsidRPr="00314FA6">
        <w:rPr>
          <w:rFonts w:ascii="Times New Roman" w:hAnsi="Times New Roman" w:cs="Times New Roman"/>
          <w:b/>
          <w:sz w:val="24"/>
        </w:rPr>
        <w:t xml:space="preserve">Marco Antonio Cruz Peralta </w:t>
      </w:r>
    </w:p>
    <w:p w:rsidR="00314FA6" w:rsidRPr="00314FA6" w:rsidRDefault="00314FA6" w:rsidP="00314FA6">
      <w:pPr>
        <w:spacing w:line="312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Eje temático: </w:t>
      </w:r>
      <w:r w:rsidRPr="00314FA6">
        <w:rPr>
          <w:rFonts w:ascii="Times New Roman" w:hAnsi="Times New Roman" w:cs="Times New Roman"/>
          <w:b/>
          <w:sz w:val="24"/>
        </w:rPr>
        <w:t>Producción del espacio urbano y rural: interrelaciones y conflictos</w:t>
      </w:r>
    </w:p>
    <w:p w:rsidR="00C84C09" w:rsidRPr="00314FA6" w:rsidRDefault="00C84C09" w:rsidP="00314FA6">
      <w:pPr>
        <w:spacing w:line="312" w:lineRule="auto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b/>
          <w:sz w:val="24"/>
        </w:rPr>
        <w:t>Resumen</w:t>
      </w:r>
    </w:p>
    <w:p w:rsidR="00BB74D5" w:rsidRPr="00314FA6" w:rsidRDefault="00BB74D5" w:rsidP="00314FA6">
      <w:pPr>
        <w:spacing w:line="312" w:lineRule="auto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 xml:space="preserve">Los términos de paisaje son diversos en la amplitud en que son concebidos, desde la perspectiva física y social de la geografía (Ramírez y López, 2015). Ambos aspectos abordan una gama de conceptos generados, a partir de las escuelas científicas europeas, americanas, entre otras, sin embargo, el punto en común entre ambas vertientes es el análisis del espacio territorial en la relación hombre-naturaleza. </w:t>
      </w:r>
    </w:p>
    <w:p w:rsidR="00BB74D5" w:rsidRPr="00314FA6" w:rsidRDefault="00BB74D5" w:rsidP="00314FA6">
      <w:pPr>
        <w:spacing w:line="312" w:lineRule="auto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 xml:space="preserve">El enfoque de la ciencia de los paisajes tiene como antecedente teórico-metodológico la Geografía Física Compleja (Mateo, 2002), donde se desarrolla ampliamente el concepto de Geografía de los paisajes, o también conocida como </w:t>
      </w:r>
      <w:proofErr w:type="spellStart"/>
      <w:r w:rsidRPr="00314FA6">
        <w:rPr>
          <w:rFonts w:ascii="Times New Roman" w:hAnsi="Times New Roman" w:cs="Times New Roman"/>
          <w:sz w:val="24"/>
        </w:rPr>
        <w:t>Geoecología</w:t>
      </w:r>
      <w:proofErr w:type="spellEnd"/>
      <w:r w:rsidRPr="00314FA6">
        <w:rPr>
          <w:rFonts w:ascii="Times New Roman" w:hAnsi="Times New Roman" w:cs="Times New Roman"/>
          <w:sz w:val="24"/>
        </w:rPr>
        <w:t xml:space="preserve"> de los paisajes. Los primeros planteamientos sobre la </w:t>
      </w:r>
      <w:proofErr w:type="spellStart"/>
      <w:r w:rsidRPr="00314FA6">
        <w:rPr>
          <w:rFonts w:ascii="Times New Roman" w:hAnsi="Times New Roman" w:cs="Times New Roman"/>
          <w:sz w:val="24"/>
        </w:rPr>
        <w:t>geoecología</w:t>
      </w:r>
      <w:proofErr w:type="spellEnd"/>
      <w:r w:rsidRPr="00314FA6">
        <w:rPr>
          <w:rFonts w:ascii="Times New Roman" w:hAnsi="Times New Roman" w:cs="Times New Roman"/>
          <w:sz w:val="24"/>
        </w:rPr>
        <w:t xml:space="preserve"> fueron desarrollados por el ruso </w:t>
      </w:r>
      <w:proofErr w:type="spellStart"/>
      <w:r w:rsidRPr="00314FA6">
        <w:rPr>
          <w:rFonts w:ascii="Times New Roman" w:hAnsi="Times New Roman" w:cs="Times New Roman"/>
          <w:sz w:val="24"/>
        </w:rPr>
        <w:t>Vasilli</w:t>
      </w:r>
      <w:proofErr w:type="spellEnd"/>
      <w:r w:rsidRPr="00314F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FA6">
        <w:rPr>
          <w:rFonts w:ascii="Times New Roman" w:hAnsi="Times New Roman" w:cs="Times New Roman"/>
          <w:sz w:val="24"/>
        </w:rPr>
        <w:t>Vasilievich</w:t>
      </w:r>
      <w:proofErr w:type="spellEnd"/>
      <w:r w:rsidRPr="00314F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FA6">
        <w:rPr>
          <w:rFonts w:ascii="Times New Roman" w:hAnsi="Times New Roman" w:cs="Times New Roman"/>
          <w:sz w:val="24"/>
        </w:rPr>
        <w:t>Dokuchaev</w:t>
      </w:r>
      <w:proofErr w:type="spellEnd"/>
      <w:r w:rsidRPr="00314FA6">
        <w:rPr>
          <w:rFonts w:ascii="Times New Roman" w:hAnsi="Times New Roman" w:cs="Times New Roman"/>
          <w:sz w:val="24"/>
        </w:rPr>
        <w:t xml:space="preserve"> (1846-1903) y Lev </w:t>
      </w:r>
      <w:proofErr w:type="spellStart"/>
      <w:r w:rsidRPr="00314FA6">
        <w:rPr>
          <w:rFonts w:ascii="Times New Roman" w:hAnsi="Times New Roman" w:cs="Times New Roman"/>
          <w:sz w:val="24"/>
        </w:rPr>
        <w:t>Semenovich</w:t>
      </w:r>
      <w:proofErr w:type="spellEnd"/>
      <w:r w:rsidRPr="00314F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FA6">
        <w:rPr>
          <w:rFonts w:ascii="Times New Roman" w:hAnsi="Times New Roman" w:cs="Times New Roman"/>
          <w:sz w:val="24"/>
        </w:rPr>
        <w:t>Berg</w:t>
      </w:r>
      <w:proofErr w:type="spellEnd"/>
      <w:r w:rsidRPr="00314FA6">
        <w:rPr>
          <w:rFonts w:ascii="Times New Roman" w:hAnsi="Times New Roman" w:cs="Times New Roman"/>
          <w:sz w:val="24"/>
        </w:rPr>
        <w:t xml:space="preserve"> (1876-1950), a finales del siglo XIX, en donde empleó el enfoque ecológico-paisajístico al analizar el uso de la naturaleza, teniendo en cuenta siempre al hombre y a la sociedad (Cruz, 2020).</w:t>
      </w:r>
    </w:p>
    <w:p w:rsidR="00BB74D5" w:rsidRPr="00314FA6" w:rsidRDefault="00BB74D5" w:rsidP="00314FA6">
      <w:pPr>
        <w:spacing w:line="312" w:lineRule="auto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 xml:space="preserve">Hasse (1986), menciona que la </w:t>
      </w:r>
      <w:proofErr w:type="spellStart"/>
      <w:r w:rsidRPr="00314FA6">
        <w:rPr>
          <w:rFonts w:ascii="Times New Roman" w:hAnsi="Times New Roman" w:cs="Times New Roman"/>
          <w:sz w:val="24"/>
        </w:rPr>
        <w:t>geoecología</w:t>
      </w:r>
      <w:proofErr w:type="spellEnd"/>
      <w:r w:rsidRPr="00314FA6">
        <w:rPr>
          <w:rFonts w:ascii="Times New Roman" w:hAnsi="Times New Roman" w:cs="Times New Roman"/>
          <w:sz w:val="24"/>
        </w:rPr>
        <w:t xml:space="preserve"> es resultado de la integración del enfoque ecológico, el cual tiene características más funcionales, y el enfoque paisajístico, que posee características más estructurales. La integración antes mencionada, proporciona una base teórico-metodológica para la comprensión del funcionamiento ecológico de los paisajes; para el esclarecimiento de la influencia de la heterogeneidad espacial de la biodiversidad y de los regímenes de perturbación ecológica (Ramírez, 2013); así mismo, permite analizar el grado de la modificación antrópica de los territorios a través de la correlación entre la heterogeneidad </w:t>
      </w:r>
      <w:proofErr w:type="spellStart"/>
      <w:r w:rsidRPr="00314FA6">
        <w:rPr>
          <w:rFonts w:ascii="Times New Roman" w:hAnsi="Times New Roman" w:cs="Times New Roman"/>
          <w:sz w:val="24"/>
        </w:rPr>
        <w:t>geoecológica</w:t>
      </w:r>
      <w:proofErr w:type="spellEnd"/>
      <w:r w:rsidRPr="00314FA6">
        <w:rPr>
          <w:rFonts w:ascii="Times New Roman" w:hAnsi="Times New Roman" w:cs="Times New Roman"/>
          <w:sz w:val="24"/>
        </w:rPr>
        <w:t xml:space="preserve"> y la antropización de los paisajes.</w:t>
      </w:r>
    </w:p>
    <w:p w:rsidR="00BB74D5" w:rsidRPr="00314FA6" w:rsidRDefault="00BB74D5" w:rsidP="00314FA6">
      <w:pPr>
        <w:spacing w:line="312" w:lineRule="auto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 xml:space="preserve">El uso de las unidades </w:t>
      </w:r>
      <w:proofErr w:type="spellStart"/>
      <w:r w:rsidRPr="00314FA6">
        <w:rPr>
          <w:rFonts w:ascii="Times New Roman" w:hAnsi="Times New Roman" w:cs="Times New Roman"/>
          <w:sz w:val="24"/>
        </w:rPr>
        <w:t>geoecológicas</w:t>
      </w:r>
      <w:proofErr w:type="spellEnd"/>
      <w:r w:rsidRPr="00314FA6">
        <w:rPr>
          <w:rFonts w:ascii="Times New Roman" w:hAnsi="Times New Roman" w:cs="Times New Roman"/>
          <w:sz w:val="24"/>
        </w:rPr>
        <w:t>, consiste en la clasificación, delimitación y caracterización de un espacio en unidades sintéticas, lo que facilita el análisis, evaluación y planificación -gestión de las consecuencias del proceso de urbanización en, los diferentes ámbitos que interaccionan en un territorio: urbano, periurbano y rural. Es importante que el paisaje tenga un nivel de atención dentro del desarrollo de proyectos de “planificación territorial y urbanística, como elemento importante de la calidad de vida de las personas, de la competitividad y sostenibilidad de los territorios y como parte esencial del patrimonio cultural y natural” (Ordoñez, 2010)</w:t>
      </w:r>
    </w:p>
    <w:p w:rsidR="00B40360" w:rsidRPr="00314FA6" w:rsidRDefault="00BB74D5" w:rsidP="00314FA6">
      <w:pPr>
        <w:spacing w:line="312" w:lineRule="auto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 xml:space="preserve">Es por ello que resulta evidente la necesidad de ampliar el alcance de las unidades del paisaje en la gestión ambiental y urbana del territorio, por lo que el presente proyecto propone utilizar el enfoque </w:t>
      </w:r>
      <w:proofErr w:type="spellStart"/>
      <w:r w:rsidRPr="00314FA6">
        <w:rPr>
          <w:rFonts w:ascii="Times New Roman" w:hAnsi="Times New Roman" w:cs="Times New Roman"/>
          <w:sz w:val="24"/>
        </w:rPr>
        <w:t>geoecológico</w:t>
      </w:r>
      <w:proofErr w:type="spellEnd"/>
      <w:r w:rsidRPr="00314FA6">
        <w:rPr>
          <w:rFonts w:ascii="Times New Roman" w:hAnsi="Times New Roman" w:cs="Times New Roman"/>
          <w:sz w:val="24"/>
        </w:rPr>
        <w:t xml:space="preserve"> para comprender las particularidades del paisaje urbano, debido a que permite vislumbrar la diferenciación ambiental, a través de la delimitación de las unidades del paisaje a </w:t>
      </w:r>
      <w:r w:rsidRPr="00314FA6">
        <w:rPr>
          <w:rFonts w:ascii="Times New Roman" w:hAnsi="Times New Roman" w:cs="Times New Roman"/>
          <w:sz w:val="24"/>
        </w:rPr>
        <w:lastRenderedPageBreak/>
        <w:t>diferentes escalas espaciales, asimismo, integra variables físico-geográficas, socio-económicas y antropogénicas, con una visión sistémica y holística.</w:t>
      </w:r>
    </w:p>
    <w:p w:rsidR="00BB74D5" w:rsidRPr="00314FA6" w:rsidRDefault="00BB74D5" w:rsidP="00314FA6">
      <w:pPr>
        <w:spacing w:line="312" w:lineRule="auto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 xml:space="preserve">A través del tiempo las ciudades han presentado procesos de transformación y modernización de ciertas zonas. Hasta mediados del siglo XX se empezó a prestar atención a los procesos de renovación que ocurrían en las zonas centrales de las ciudades, que había sufrido procesos de deterioro, decadencia, estigmatización y pérdida de importancia funcional (Smith, 2012; Garrocho, 1994; Fanjul, 2016). Esto, derivado de procesos de </w:t>
      </w:r>
      <w:proofErr w:type="spellStart"/>
      <w:r w:rsidRPr="00314FA6">
        <w:rPr>
          <w:rFonts w:ascii="Times New Roman" w:hAnsi="Times New Roman" w:cs="Times New Roman"/>
          <w:sz w:val="24"/>
        </w:rPr>
        <w:t>suburbanización</w:t>
      </w:r>
      <w:proofErr w:type="spellEnd"/>
      <w:r w:rsidRPr="00314FA6">
        <w:rPr>
          <w:rFonts w:ascii="Times New Roman" w:hAnsi="Times New Roman" w:cs="Times New Roman"/>
          <w:sz w:val="24"/>
        </w:rPr>
        <w:t xml:space="preserve"> y la creación de polos de atracción comercial y de servicios en otras partes de la ciudad. El fenómeno se observó en muchas ciudades alrededor del mundo. En respuesta, agentes como el Estado, el capital inmobiliario privado y segmentos específicos de la sociedad, emprendieron una serie de acciones encaminadas a su recuperación y renovación urbana (</w:t>
      </w:r>
      <w:proofErr w:type="spellStart"/>
      <w:r w:rsidRPr="00314FA6">
        <w:rPr>
          <w:rFonts w:ascii="Times New Roman" w:hAnsi="Times New Roman" w:cs="Times New Roman"/>
          <w:sz w:val="24"/>
        </w:rPr>
        <w:t>Abrahams</w:t>
      </w:r>
      <w:proofErr w:type="spellEnd"/>
      <w:r w:rsidRPr="00314FA6">
        <w:rPr>
          <w:rFonts w:ascii="Times New Roman" w:hAnsi="Times New Roman" w:cs="Times New Roman"/>
          <w:sz w:val="24"/>
        </w:rPr>
        <w:t>, 1965), dando como resultado transformaciones socioculturales, económicas y territoriales de esas zonas.</w:t>
      </w:r>
    </w:p>
    <w:p w:rsidR="00C84C09" w:rsidRPr="00314FA6" w:rsidRDefault="00314FA6" w:rsidP="00314FA6">
      <w:pPr>
        <w:spacing w:line="312" w:lineRule="auto"/>
        <w:jc w:val="both"/>
        <w:rPr>
          <w:rFonts w:ascii="Times New Roman" w:hAnsi="Times New Roman" w:cs="Times New Roman"/>
          <w:b/>
          <w:sz w:val="24"/>
        </w:rPr>
      </w:pPr>
      <w:r w:rsidRPr="00314FA6">
        <w:rPr>
          <w:rFonts w:ascii="Times New Roman" w:hAnsi="Times New Roman" w:cs="Times New Roman"/>
          <w:b/>
          <w:sz w:val="24"/>
        </w:rPr>
        <w:t>Palabras clave</w:t>
      </w:r>
    </w:p>
    <w:p w:rsidR="00314FA6" w:rsidRDefault="00314FA6" w:rsidP="00314FA6">
      <w:pPr>
        <w:spacing w:line="312" w:lineRule="auto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>Paisaje, gentrificación, urbano, rural, cultura.</w:t>
      </w:r>
    </w:p>
    <w:p w:rsidR="000F2C6A" w:rsidRPr="00314FA6" w:rsidRDefault="000F2C6A" w:rsidP="00314FA6">
      <w:pPr>
        <w:spacing w:line="312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84C09" w:rsidRPr="00314FA6" w:rsidRDefault="00C84C09" w:rsidP="00314FA6">
      <w:pPr>
        <w:spacing w:line="312" w:lineRule="auto"/>
        <w:jc w:val="both"/>
        <w:rPr>
          <w:rFonts w:ascii="Times New Roman" w:hAnsi="Times New Roman" w:cs="Times New Roman"/>
          <w:b/>
          <w:sz w:val="24"/>
        </w:rPr>
      </w:pPr>
      <w:r w:rsidRPr="00314FA6">
        <w:rPr>
          <w:rFonts w:ascii="Times New Roman" w:hAnsi="Times New Roman" w:cs="Times New Roman"/>
          <w:b/>
          <w:sz w:val="24"/>
        </w:rPr>
        <w:t xml:space="preserve">Referencias </w:t>
      </w:r>
      <w:r w:rsidR="00314FA6" w:rsidRPr="00314FA6">
        <w:rPr>
          <w:rFonts w:ascii="Times New Roman" w:hAnsi="Times New Roman" w:cs="Times New Roman"/>
          <w:b/>
          <w:sz w:val="24"/>
        </w:rPr>
        <w:t xml:space="preserve">bibliográficas </w:t>
      </w:r>
    </w:p>
    <w:p w:rsidR="00C84C09" w:rsidRPr="00314FA6" w:rsidRDefault="00C84C09" w:rsidP="00314FA6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 xml:space="preserve">Cruz-Peralta, M. A. (2020). Análisis del potencial paisajístico-geológico-geomorfológico de la Sierra Gorda de Querétaro como estrategia de </w:t>
      </w:r>
      <w:proofErr w:type="spellStart"/>
      <w:r w:rsidRPr="00314FA6">
        <w:rPr>
          <w:rFonts w:ascii="Times New Roman" w:hAnsi="Times New Roman" w:cs="Times New Roman"/>
          <w:sz w:val="24"/>
        </w:rPr>
        <w:t>geoconservación</w:t>
      </w:r>
      <w:proofErr w:type="spellEnd"/>
      <w:r w:rsidRPr="00314FA6">
        <w:rPr>
          <w:rFonts w:ascii="Times New Roman" w:hAnsi="Times New Roman" w:cs="Times New Roman"/>
          <w:sz w:val="24"/>
        </w:rPr>
        <w:t xml:space="preserve"> y desarrollo local en el marco de un geoparque. [tesis de maestría, Universidad Autónoma del Estado de México]. </w:t>
      </w:r>
      <w:proofErr w:type="spellStart"/>
      <w:r w:rsidRPr="00314FA6">
        <w:rPr>
          <w:rFonts w:ascii="Times New Roman" w:hAnsi="Times New Roman" w:cs="Times New Roman"/>
          <w:sz w:val="24"/>
        </w:rPr>
        <w:t>Reposi</w:t>
      </w:r>
      <w:proofErr w:type="spellEnd"/>
      <w:r w:rsidRPr="00314FA6">
        <w:rPr>
          <w:rFonts w:ascii="Times New Roman" w:hAnsi="Times New Roman" w:cs="Times New Roman"/>
          <w:sz w:val="24"/>
        </w:rPr>
        <w:t>-torio Institucional https://ri.uaemex.mx/handle/20.500.11799/109552</w:t>
      </w:r>
    </w:p>
    <w:p w:rsidR="00C84C09" w:rsidRPr="00314FA6" w:rsidRDefault="00C84C09" w:rsidP="00314FA6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 xml:space="preserve">Fanjul, S. (2016). “Cuando aparece el primer cupcake ya podemos hablar de gentrificación”. Consultado en   http://elpais.com/elpais/2016/09/15/tentaciones/1473938386_584848.html </w:t>
      </w:r>
    </w:p>
    <w:p w:rsidR="00C84C09" w:rsidRPr="00314FA6" w:rsidRDefault="00C84C09" w:rsidP="00314FA6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>Garrocho, C. (1994). “¿Decadencia de la ciudad de México? De los problemas de la ciudad central a los problemas en la ciudad central”, en Ciudades, vol. 5, núm. 1.</w:t>
      </w:r>
    </w:p>
    <w:p w:rsidR="00C84C09" w:rsidRPr="00314FA6" w:rsidRDefault="00C84C09" w:rsidP="00314FA6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 xml:space="preserve">Ramírez-Sánchez, L. G. (2013). Evaluación de la heterogeneidad de los paisajes </w:t>
      </w:r>
      <w:proofErr w:type="spellStart"/>
      <w:r w:rsidRPr="00314FA6">
        <w:rPr>
          <w:rFonts w:ascii="Times New Roman" w:hAnsi="Times New Roman" w:cs="Times New Roman"/>
          <w:sz w:val="24"/>
        </w:rPr>
        <w:t>físico-geográcos</w:t>
      </w:r>
      <w:proofErr w:type="spellEnd"/>
      <w:r w:rsidRPr="00314FA6">
        <w:rPr>
          <w:rFonts w:ascii="Times New Roman" w:hAnsi="Times New Roman" w:cs="Times New Roman"/>
          <w:sz w:val="24"/>
        </w:rPr>
        <w:t xml:space="preserve"> de Michoacán. [Tesis doctoral. Universidad Nacional Autónoma de México]. TESIUNAM. http://132.248.9.195/ptd2013/julio/0697939/Index.html</w:t>
      </w:r>
    </w:p>
    <w:p w:rsidR="00C84C09" w:rsidRPr="00314FA6" w:rsidRDefault="00C84C09" w:rsidP="00314FA6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>Ramírez, B. R. y López, L. (2015). Espacio, paisaje, región, territorio y lugar: la diversidad en el pensamiento contemporáneo. Instituto de Geografía; Universidad Autónoma Metropolitana, Xochimilco. México.</w:t>
      </w:r>
    </w:p>
    <w:p w:rsidR="00C84C09" w:rsidRPr="00314FA6" w:rsidRDefault="00C84C09" w:rsidP="00314FA6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>Smith, N. (2012). La nueva frontera urbana. Ciudad revanchista y gentrificación. España, Ed. Traficantes de Sueños. Mapas</w:t>
      </w:r>
    </w:p>
    <w:sectPr w:rsidR="00C84C09" w:rsidRPr="00314FA6" w:rsidSect="00314FA6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D5"/>
    <w:rsid w:val="000F2C6A"/>
    <w:rsid w:val="00314FA6"/>
    <w:rsid w:val="00B40360"/>
    <w:rsid w:val="00BB74D5"/>
    <w:rsid w:val="00C8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2075"/>
  <w15:chartTrackingRefBased/>
  <w15:docId w15:val="{25FC114C-4851-41A6-B0FB-C0B9C1F7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101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46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825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USUARIO_LOCAL</dc:creator>
  <cp:keywords/>
  <dc:description/>
  <cp:lastModifiedBy>USUARIO_LOCAL</cp:lastModifiedBy>
  <cp:revision>4</cp:revision>
  <dcterms:created xsi:type="dcterms:W3CDTF">2023-03-15T08:44:00Z</dcterms:created>
  <dcterms:modified xsi:type="dcterms:W3CDTF">2023-03-15T09:18:00Z</dcterms:modified>
</cp:coreProperties>
</file>