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Título: 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es-EC"/>
        </w:rPr>
        <w:t>Producción urbana popular, apropiación conflictiva del territorio y movilización ciudadana en el periurbano Noroccidente quiteño.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Nombre y Apellidos: </w:t>
      </w:r>
      <w:r>
        <w:rPr>
          <w:rFonts w:ascii="Times New Roman" w:hAnsi="Times New Roman" w:cs="Times New Roman"/>
          <w:sz w:val="24"/>
          <w:szCs w:val="24"/>
          <w:lang w:val="es-EC"/>
        </w:rPr>
        <w:t>Mateo Valarezo Bravo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Eje Temático: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Producción del espacio urbano y rural: interrelaciones y conflictos. </w:t>
      </w:r>
      <w:r>
        <w:rPr>
          <w:rFonts w:ascii="Times New Roman" w:hAnsi="Times New Roman" w:cs="Times New Roman"/>
          <w:sz w:val="24"/>
          <w:szCs w:val="24"/>
          <w:lang w:val="es-EC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val="es-EC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Resumen: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/>
        <w:textAlignment w:val="auto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 xml:space="preserve">El Distrito Metropolitano de Quito (DMQ) está conformado por una zona urbana compacta </w:t>
      </w:r>
      <w:r>
        <w:rPr>
          <w:rFonts w:ascii="Times New Roman" w:hAnsi="Times New Roman" w:cs="Times New Roman"/>
          <w:lang w:val="es-ES"/>
        </w:rPr>
        <w:t>localizada</w:t>
      </w:r>
      <w:r>
        <w:rPr>
          <w:rFonts w:ascii="Times New Roman" w:hAnsi="Times New Roman" w:cs="Times New Roman"/>
          <w:lang w:val="es-EC"/>
        </w:rPr>
        <w:t xml:space="preserve"> en el valle alto</w:t>
      </w:r>
      <w:r>
        <w:rPr>
          <w:rFonts w:ascii="Times New Roman" w:hAnsi="Times New Roman" w:cs="Times New Roman"/>
          <w:lang w:val="es-ES"/>
        </w:rPr>
        <w:t xml:space="preserve"> de Quito,</w:t>
      </w:r>
      <w:r>
        <w:rPr>
          <w:rFonts w:ascii="Times New Roman" w:hAnsi="Times New Roman" w:cs="Times New Roman"/>
          <w:lang w:val="es-EC"/>
        </w:rPr>
        <w:t xml:space="preserve"> entre las estribaciones del complejo volcánico Pichincha y las elevaciones orientales </w:t>
      </w:r>
      <w:r>
        <w:rPr>
          <w:rFonts w:ascii="Times New Roman" w:hAnsi="Times New Roman" w:cs="Times New Roman"/>
          <w:lang w:val="es-ES"/>
        </w:rPr>
        <w:t>de</w:t>
      </w:r>
      <w:r>
        <w:rPr>
          <w:rFonts w:ascii="Times New Roman" w:hAnsi="Times New Roman" w:cs="Times New Roman"/>
          <w:lang w:val="es-EC"/>
        </w:rPr>
        <w:t xml:space="preserve"> Puengasí y Guanguiltagua</w:t>
      </w:r>
      <w:r>
        <w:rPr>
          <w:rFonts w:ascii="Times New Roman" w:hAnsi="Times New Roman" w:cs="Times New Roman"/>
          <w:lang w:val="es-ES"/>
        </w:rPr>
        <w:t>. También forman parte del Distrito Metropolitano las zonas periurbanas con vocación residencial, conectadas a la hipercentralidad a través de desplazamientos pendulares (</w:t>
      </w:r>
      <w:r>
        <w:rPr>
          <w:rFonts w:hint="default" w:ascii="Times New Roman" w:hAnsi="Times New Roman" w:cs="Times New Roman"/>
          <w:lang w:val="es-ES"/>
        </w:rPr>
        <w:t>Carrión 2012</w:t>
      </w:r>
      <w:r>
        <w:rPr>
          <w:rFonts w:ascii="Times New Roman" w:hAnsi="Times New Roman" w:cs="Times New Roman"/>
          <w:lang w:val="es-ES"/>
        </w:rPr>
        <w:t>). A</w:t>
      </w:r>
      <w:r>
        <w:rPr>
          <w:rFonts w:ascii="Times New Roman" w:hAnsi="Times New Roman" w:cs="Times New Roman"/>
          <w:lang w:val="es-EC"/>
        </w:rPr>
        <w:t xml:space="preserve"> partir de </w:t>
      </w:r>
      <w:r>
        <w:rPr>
          <w:rFonts w:ascii="Times New Roman" w:hAnsi="Times New Roman" w:cs="Times New Roman"/>
          <w:lang w:val="es-ES"/>
        </w:rPr>
        <w:t>la década de lo</w:t>
      </w:r>
      <w:r>
        <w:rPr>
          <w:rFonts w:ascii="Times New Roman" w:hAnsi="Times New Roman" w:cs="Times New Roman"/>
          <w:lang w:val="es-EC"/>
        </w:rPr>
        <w:t xml:space="preserve">s 2000 </w:t>
      </w:r>
      <w:r>
        <w:rPr>
          <w:rFonts w:ascii="Times New Roman" w:hAnsi="Times New Roman" w:cs="Times New Roman"/>
          <w:lang w:val="es-ES"/>
        </w:rPr>
        <w:t xml:space="preserve">y con </w:t>
      </w:r>
      <w:r>
        <w:rPr>
          <w:rFonts w:ascii="Times New Roman" w:hAnsi="Times New Roman" w:cs="Times New Roman"/>
          <w:lang w:val="es-EC"/>
        </w:rPr>
        <w:t xml:space="preserve">la dolarización </w:t>
      </w:r>
      <w:r>
        <w:rPr>
          <w:rFonts w:ascii="Times New Roman" w:hAnsi="Times New Roman" w:cs="Times New Roman"/>
          <w:lang w:val="es-ES"/>
        </w:rPr>
        <w:t>d</w:t>
      </w:r>
      <w:r>
        <w:rPr>
          <w:rFonts w:ascii="Times New Roman" w:hAnsi="Times New Roman" w:cs="Times New Roman"/>
          <w:lang w:val="es-EC"/>
        </w:rPr>
        <w:t>el Ecuador</w:t>
      </w:r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C"/>
        </w:rPr>
        <w:t xml:space="preserve">los valles circundantes </w:t>
      </w:r>
      <w:r>
        <w:rPr>
          <w:rFonts w:ascii="Times New Roman" w:hAnsi="Times New Roman" w:cs="Times New Roman"/>
          <w:lang w:val="es-ES"/>
        </w:rPr>
        <w:t>de</w:t>
      </w:r>
      <w:r>
        <w:rPr>
          <w:rFonts w:ascii="Times New Roman" w:hAnsi="Times New Roman" w:cs="Times New Roman"/>
          <w:lang w:val="es-EC"/>
        </w:rPr>
        <w:t xml:space="preserve"> Tumbaco, Los Chillos, Pomasqui y Calderó</w:t>
      </w:r>
      <w:r>
        <w:rPr>
          <w:rFonts w:ascii="Times New Roman" w:hAnsi="Times New Roman" w:cs="Times New Roman"/>
          <w:lang w:val="es-ES"/>
        </w:rPr>
        <w:t>n</w:t>
      </w:r>
      <w:r>
        <w:rPr>
          <w:rFonts w:ascii="Times New Roman" w:hAnsi="Times New Roman" w:cs="Times New Roman"/>
          <w:lang w:val="es-EC"/>
        </w:rPr>
        <w:t xml:space="preserve"> empeza</w:t>
      </w:r>
      <w:r>
        <w:rPr>
          <w:rFonts w:ascii="Times New Roman" w:hAnsi="Times New Roman" w:cs="Times New Roman"/>
          <w:lang w:val="es-ES"/>
        </w:rPr>
        <w:t>ro</w:t>
      </w:r>
      <w:r>
        <w:rPr>
          <w:rFonts w:ascii="Times New Roman" w:hAnsi="Times New Roman" w:cs="Times New Roman"/>
          <w:lang w:val="es-EC"/>
        </w:rPr>
        <w:t>n a</w:t>
      </w:r>
      <w:r>
        <w:rPr>
          <w:rFonts w:ascii="Times New Roman" w:hAnsi="Times New Roman" w:cs="Times New Roman"/>
          <w:lang w:val="es-ES"/>
        </w:rPr>
        <w:t xml:space="preserve"> integrarse en una</w:t>
      </w:r>
      <w:r>
        <w:rPr>
          <w:rFonts w:ascii="Times New Roman" w:hAnsi="Times New Roman" w:cs="Times New Roman"/>
          <w:lang w:val="es-EC"/>
        </w:rPr>
        <w:t xml:space="preserve"> conurba</w:t>
      </w:r>
      <w:r>
        <w:rPr>
          <w:rFonts w:ascii="Times New Roman" w:hAnsi="Times New Roman" w:cs="Times New Roman"/>
          <w:lang w:val="es-ES"/>
        </w:rPr>
        <w:t>ción de baja densidad y con altos niveles de dispersión urbana, aquí se destaca el surgimiento de la informalidad como la forma de aproximación de sectores populares hacia lo urbano</w:t>
      </w:r>
      <w:r>
        <w:rPr>
          <w:rFonts w:ascii="Times New Roman" w:hAnsi="Times New Roman" w:cs="Times New Roman"/>
          <w:lang w:val="es-EC"/>
        </w:rPr>
        <w:t xml:space="preserve">. </w:t>
      </w:r>
      <w:r>
        <w:rPr>
          <w:rFonts w:ascii="Times New Roman" w:hAnsi="Times New Roman" w:cs="Times New Roman"/>
          <w:lang w:val="es-ES"/>
        </w:rPr>
        <w:t xml:space="preserve">Bajo esta lógica de informalidad, en el DMQ surgieron núcleos de alta concentración de asentamientos humanos populares como son Calderón, Noroccidente de Quito, Quitumbe y Tumbaco </w:t>
      </w:r>
      <w:r>
        <w:rPr>
          <w:rFonts w:hint="default" w:ascii="Times New Roman" w:hAnsi="Times New Roman"/>
          <w:lang w:val="es-ES"/>
        </w:rPr>
        <w:t>(Carvajal 2020)</w:t>
      </w:r>
      <w:r>
        <w:rPr>
          <w:rFonts w:ascii="Times New Roman" w:hAnsi="Times New Roman" w:cs="Times New Roman"/>
          <w:lang w:val="es-ES"/>
        </w:rPr>
        <w:t>. En estas zonas periurbanas la p</w:t>
      </w:r>
      <w:r>
        <w:rPr>
          <w:rFonts w:ascii="Times New Roman" w:hAnsi="Times New Roman" w:cs="Times New Roman"/>
          <w:lang w:val="es-EC"/>
        </w:rPr>
        <w:t xml:space="preserve">roducción social del </w:t>
      </w:r>
      <w:r>
        <w:rPr>
          <w:rFonts w:hint="default" w:ascii="Times New Roman" w:hAnsi="Times New Roman" w:cs="Times New Roman"/>
          <w:lang w:val="es-ES"/>
        </w:rPr>
        <w:t>hábitat</w:t>
      </w:r>
      <w:r>
        <w:rPr>
          <w:rFonts w:ascii="Times New Roman" w:hAnsi="Times New Roman" w:cs="Times New Roman"/>
          <w:lang w:val="es-ES"/>
        </w:rPr>
        <w:t xml:space="preserve"> se relaciona con </w:t>
      </w:r>
      <w:r>
        <w:rPr>
          <w:rFonts w:ascii="Times New Roman" w:hAnsi="Times New Roman" w:cs="Times New Roman"/>
          <w:lang w:val="es-EC"/>
        </w:rPr>
        <w:t xml:space="preserve">lógicas populares y de autoconstrucción </w:t>
      </w:r>
      <w:r>
        <w:rPr>
          <w:rFonts w:ascii="Times New Roman" w:hAnsi="Times New Roman" w:cs="Times New Roman"/>
          <w:lang w:val="es-ES"/>
        </w:rPr>
        <w:t>de la vivienda, en este aspecto en la zona del Noroccidente de Quito se localizan los asentamientos populares más antiguos y organizados</w:t>
      </w:r>
      <w:r>
        <w:rPr>
          <w:rFonts w:ascii="Times New Roman" w:hAnsi="Times New Roman" w:cs="Times New Roman"/>
          <w:lang w:val="es-EC"/>
        </w:rPr>
        <w:t xml:space="preserve">. </w:t>
      </w:r>
      <w:r>
        <w:rPr>
          <w:rFonts w:ascii="Times New Roman" w:hAnsi="Times New Roman" w:cs="Times New Roman"/>
          <w:lang w:val="es-ES"/>
        </w:rPr>
        <w:t xml:space="preserve">Es pertinente describir que el Noroccidente popular de Quito surgió en las laderas del Pichincha bajo un contexto de invasión masiva de predios públicos, loteamiento irregular y conflicto social. Por consiguiente, el </w:t>
      </w:r>
      <w:r>
        <w:rPr>
          <w:rFonts w:ascii="Times New Roman" w:hAnsi="Times New Roman" w:cs="Times New Roman"/>
          <w:lang w:val="es-EC"/>
        </w:rPr>
        <w:t xml:space="preserve">proceso de </w:t>
      </w:r>
      <w:r>
        <w:rPr>
          <w:rFonts w:ascii="Times New Roman" w:hAnsi="Times New Roman" w:cs="Times New Roman"/>
          <w:lang w:val="es-ES"/>
        </w:rPr>
        <w:t>desarrollo territorial</w:t>
      </w:r>
      <w:r>
        <w:rPr>
          <w:rFonts w:ascii="Times New Roman" w:hAnsi="Times New Roman" w:cs="Times New Roman"/>
          <w:lang w:val="es-EC"/>
        </w:rPr>
        <w:t xml:space="preserve"> de</w:t>
      </w:r>
      <w:r>
        <w:rPr>
          <w:rFonts w:ascii="Times New Roman" w:hAnsi="Times New Roman" w:cs="Times New Roman"/>
          <w:lang w:val="es-ES"/>
        </w:rPr>
        <w:t xml:space="preserve"> los asentamientos populares del</w:t>
      </w:r>
      <w:r>
        <w:rPr>
          <w:rFonts w:ascii="Times New Roman" w:hAnsi="Times New Roman" w:cs="Times New Roman"/>
          <w:lang w:val="es-EC"/>
        </w:rPr>
        <w:t xml:space="preserve"> Noroccidente</w:t>
      </w:r>
      <w:r>
        <w:rPr>
          <w:rFonts w:ascii="Times New Roman" w:hAnsi="Times New Roman" w:cs="Times New Roman"/>
          <w:lang w:val="es-ES"/>
        </w:rPr>
        <w:t xml:space="preserve"> involucró procesos de</w:t>
      </w:r>
      <w:r>
        <w:rPr>
          <w:rFonts w:ascii="Times New Roman" w:hAnsi="Times New Roman" w:cs="Times New Roman"/>
          <w:lang w:val="es-EC"/>
        </w:rPr>
        <w:t xml:space="preserve"> apropiación conflictiva del territorio y la movilización ciudadana de actores periféricos</w:t>
      </w:r>
      <w:r>
        <w:rPr>
          <w:rFonts w:ascii="Times New Roman" w:hAnsi="Times New Roman" w:cs="Times New Roman"/>
          <w:lang w:val="es-ES"/>
        </w:rPr>
        <w:t xml:space="preserve"> en búsqueda de garantizar el derecho a la ciudad. El resultado son barrios periurbanos en constate demanda de servicios y obras, por lo que la organización popular es un enclave político para la consecución de estas metas colectivas</w:t>
      </w:r>
      <w:r>
        <w:rPr>
          <w:rFonts w:ascii="Times New Roman" w:hAnsi="Times New Roman" w:cs="Times New Roman"/>
          <w:lang w:val="es-EC"/>
        </w:rPr>
        <w:t>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/>
        <w:textAlignment w:val="auto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S"/>
        </w:rPr>
        <w:t>Llegando a este punto, l</w:t>
      </w:r>
      <w:r>
        <w:rPr>
          <w:rFonts w:ascii="Times New Roman" w:hAnsi="Times New Roman" w:cs="Times New Roman"/>
          <w:lang w:val="es-EC"/>
        </w:rPr>
        <w:t xml:space="preserve">a presente investigación </w:t>
      </w:r>
      <w:r>
        <w:rPr>
          <w:rFonts w:ascii="Times New Roman" w:hAnsi="Times New Roman" w:cs="Times New Roman"/>
          <w:lang w:val="es-ES"/>
        </w:rPr>
        <w:t>estudió “la</w:t>
      </w:r>
      <w:r>
        <w:rPr>
          <w:rFonts w:ascii="Times New Roman" w:hAnsi="Times New Roman" w:cs="Times New Roman"/>
          <w:lang w:val="es-EC"/>
        </w:rPr>
        <w:t xml:space="preserve"> producción urbana </w:t>
      </w:r>
      <w:r>
        <w:rPr>
          <w:rFonts w:ascii="Times New Roman" w:hAnsi="Times New Roman" w:cs="Times New Roman"/>
          <w:lang w:val="es-ES"/>
        </w:rPr>
        <w:t>p</w:t>
      </w:r>
      <w:r>
        <w:rPr>
          <w:rFonts w:ascii="Times New Roman" w:hAnsi="Times New Roman" w:cs="Times New Roman"/>
          <w:lang w:val="es-EC"/>
        </w:rPr>
        <w:t>opular</w:t>
      </w:r>
      <w:r>
        <w:rPr>
          <w:rFonts w:ascii="Times New Roman" w:hAnsi="Times New Roman" w:cs="Times New Roman"/>
          <w:lang w:val="es-ES"/>
        </w:rPr>
        <w:t xml:space="preserve"> en la zona periurbana del Noroccidente de Quito</w:t>
      </w:r>
      <w:r>
        <w:rPr>
          <w:rFonts w:hint="default"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con un periodo temporal 2008 - 2018”. Como mecanismos de producción periurbana se destacan: la a</w:t>
      </w:r>
      <w:r>
        <w:rPr>
          <w:rFonts w:ascii="Times New Roman" w:hAnsi="Times New Roman" w:cs="Times New Roman"/>
          <w:lang w:val="es-EC"/>
        </w:rPr>
        <w:t xml:space="preserve">utoconstrucción </w:t>
      </w:r>
      <w:r>
        <w:rPr>
          <w:rFonts w:ascii="Times New Roman" w:hAnsi="Times New Roman" w:cs="Times New Roman"/>
          <w:lang w:val="es-ES"/>
        </w:rPr>
        <w:t xml:space="preserve">de la vivienda </w:t>
      </w:r>
      <w:r>
        <w:rPr>
          <w:rFonts w:hint="default" w:ascii="Times New Roman" w:hAnsi="Times New Roman"/>
          <w:lang w:val="es-ES"/>
        </w:rPr>
        <w:t xml:space="preserve"> (Caldeira 2016)</w:t>
      </w:r>
      <w:r>
        <w:rPr>
          <w:rFonts w:ascii="Times New Roman" w:hAnsi="Times New Roman" w:cs="Times New Roman"/>
          <w:lang w:val="es-ES"/>
        </w:rPr>
        <w:t xml:space="preserve">; el empleo de estrategias informales de periurbanización </w:t>
      </w:r>
      <w:r>
        <w:rPr>
          <w:rFonts w:hint="default" w:ascii="Times New Roman" w:hAnsi="Times New Roman"/>
          <w:lang w:val="es-ES"/>
        </w:rPr>
        <w:t>(Ávila 2009)</w:t>
      </w:r>
      <w:r>
        <w:rPr>
          <w:rFonts w:ascii="Times New Roman" w:hAnsi="Times New Roman" w:cs="Times New Roman"/>
          <w:lang w:val="es-ES"/>
        </w:rPr>
        <w:t>; y la configuración de organizaciones populares que luchan por el derecho a la ciudad de sociedades periféricas y estigmatizadas</w:t>
      </w:r>
      <w:r>
        <w:rPr>
          <w:rFonts w:hint="default" w:ascii="Times New Roman" w:hAnsi="Times New Roman" w:cs="Times New Roman"/>
          <w:lang w:val="es-ES"/>
        </w:rPr>
        <w:t xml:space="preserve"> </w:t>
      </w:r>
      <w:r>
        <w:rPr>
          <w:rFonts w:hint="default" w:ascii="Times New Roman" w:hAnsi="Times New Roman"/>
          <w:lang w:val="es-ES"/>
        </w:rPr>
        <w:t xml:space="preserve"> (Melé 2019) (Rodríguez-Mancilla &amp; Grondona-Opazo 2018) (Pradilla 2016)</w:t>
      </w:r>
      <w:r>
        <w:rPr>
          <w:rFonts w:ascii="Times New Roman" w:hAnsi="Times New Roman" w:cs="Times New Roman"/>
          <w:lang w:val="es-EC"/>
        </w:rPr>
        <w:t xml:space="preserve">. </w:t>
      </w:r>
      <w:r>
        <w:rPr>
          <w:rFonts w:ascii="Times New Roman" w:hAnsi="Times New Roman" w:cs="Times New Roman"/>
          <w:lang w:val="es-ES"/>
        </w:rPr>
        <w:t xml:space="preserve">Como principales problemáticas analizadas se identificó i) </w:t>
      </w:r>
      <w:r>
        <w:rPr>
          <w:rFonts w:ascii="Times New Roman" w:hAnsi="Times New Roman" w:cs="Times New Roman"/>
          <w:lang w:val="es-EC"/>
        </w:rPr>
        <w:t>la presencia de</w:t>
      </w:r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C"/>
        </w:rPr>
        <w:t>clientelismo político</w:t>
      </w:r>
      <w:r>
        <w:rPr>
          <w:rFonts w:ascii="Times New Roman" w:hAnsi="Times New Roman" w:cs="Times New Roman"/>
          <w:lang w:val="es-ES"/>
        </w:rPr>
        <w:t xml:space="preserve"> y</w:t>
      </w:r>
      <w:r>
        <w:rPr>
          <w:rFonts w:ascii="Times New Roman" w:hAnsi="Times New Roman" w:cs="Times New Roman"/>
          <w:lang w:val="es-EC"/>
        </w:rPr>
        <w:t xml:space="preserve"> el partidismo,</w:t>
      </w:r>
      <w:r>
        <w:rPr>
          <w:rFonts w:ascii="Times New Roman" w:hAnsi="Times New Roman" w:cs="Times New Roman"/>
          <w:lang w:val="es-ES"/>
        </w:rPr>
        <w:t xml:space="preserve"> como factores que debilitan la organización popular; ii) el surgimiento del </w:t>
      </w:r>
      <w:r>
        <w:rPr>
          <w:rFonts w:ascii="Times New Roman" w:hAnsi="Times New Roman" w:cs="Times New Roman"/>
          <w:lang w:val="es-EC"/>
        </w:rPr>
        <w:t>conflicto</w:t>
      </w:r>
      <w:r>
        <w:rPr>
          <w:rFonts w:ascii="Times New Roman" w:hAnsi="Times New Roman" w:cs="Times New Roman"/>
          <w:lang w:val="es-ES"/>
        </w:rPr>
        <w:t xml:space="preserve"> social</w:t>
      </w:r>
      <w:r>
        <w:rPr>
          <w:rFonts w:ascii="Times New Roman" w:hAnsi="Times New Roman" w:cs="Times New Roman"/>
          <w:lang w:val="es-EC"/>
        </w:rPr>
        <w:t xml:space="preserve"> urbano; y, iii)</w:t>
      </w:r>
      <w:r>
        <w:rPr>
          <w:rFonts w:ascii="Times New Roman" w:hAnsi="Times New Roman" w:cs="Times New Roman"/>
          <w:lang w:val="es-ES"/>
        </w:rPr>
        <w:t xml:space="preserve"> el despliegue del recurso de </w:t>
      </w:r>
      <w:r>
        <w:rPr>
          <w:rFonts w:ascii="Times New Roman" w:hAnsi="Times New Roman" w:cs="Times New Roman"/>
          <w:lang w:val="es-EC"/>
        </w:rPr>
        <w:t>movilización ciudadana,</w:t>
      </w:r>
      <w:r>
        <w:rPr>
          <w:rFonts w:ascii="Times New Roman" w:hAnsi="Times New Roman" w:cs="Times New Roman"/>
          <w:lang w:val="es-ES"/>
        </w:rPr>
        <w:t xml:space="preserve"> como elemento de resistencia social ante las medidas de control y represión social por parte del gobierno local</w:t>
      </w:r>
      <w:r>
        <w:rPr>
          <w:rFonts w:ascii="Times New Roman" w:hAnsi="Times New Roman" w:cs="Times New Roman"/>
          <w:lang w:val="es-EC"/>
        </w:rPr>
        <w:t xml:space="preserve">.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/>
        <w:textAlignment w:val="auto"/>
        <w:rPr>
          <w:rFonts w:ascii="Times New Roman" w:hAnsi="Times New Roman"/>
          <w:lang w:val="es-ES"/>
        </w:rPr>
      </w:pPr>
      <w:r>
        <w:rPr>
          <w:rFonts w:ascii="Times New Roman" w:hAnsi="Times New Roman" w:cs="Times New Roman"/>
          <w:lang w:val="es-ES"/>
        </w:rPr>
        <w:t>En tal sentido, la investigación buscó: 1) caracterizar</w:t>
      </w:r>
      <w:r>
        <w:rPr>
          <w:rFonts w:ascii="Times New Roman" w:hAnsi="Times New Roman" w:cs="Times New Roman"/>
          <w:lang w:val="es-EC"/>
        </w:rPr>
        <w:t xml:space="preserve"> los conflictos urbanos por procesos de ocupación del suelo y por procesos de exclusión política; 2) </w:t>
      </w:r>
      <w:r>
        <w:rPr>
          <w:rFonts w:ascii="Times New Roman" w:hAnsi="Times New Roman" w:cs="Times New Roman"/>
          <w:lang w:val="es-ES"/>
        </w:rPr>
        <w:t>analizar el impacto de la respuesta institucional del gobierno local a través de su modelo de gestión política; y 3) Analizar la matriz de reestructuración territorial periurbana, relacionada a los procesos de dominación económica y resistencia social. No obstante, fue necesario identificar una zona de estudio a través de la conceptualización de la “</w:t>
      </w:r>
      <w:r>
        <w:rPr>
          <w:rFonts w:ascii="Times New Roman" w:hAnsi="Times New Roman"/>
          <w:lang w:val="es-ES"/>
        </w:rPr>
        <w:t>Zonas Periurbanas del Noroccidente de Quito</w:t>
      </w:r>
      <w:r>
        <w:rPr>
          <w:rFonts w:ascii="Times New Roman" w:hAnsi="Times New Roman" w:cs="Times New Roman"/>
          <w:lang w:val="es-ES"/>
        </w:rPr>
        <w:t>”</w:t>
      </w:r>
      <w:r>
        <w:rPr>
          <w:rFonts w:hint="default" w:ascii="Times New Roman" w:hAnsi="Times New Roman" w:cs="Times New Roman"/>
          <w:lang w:val="es-ES"/>
        </w:rPr>
        <w:t xml:space="preserve"> </w:t>
      </w:r>
      <w:r>
        <w:rPr>
          <w:rFonts w:hint="default" w:ascii="Times New Roman" w:hAnsi="Times New Roman"/>
          <w:lang w:val="es-ES"/>
        </w:rPr>
        <w:t>(CIUDAD 1992)</w:t>
      </w:r>
      <w:r>
        <w:rPr>
          <w:rFonts w:ascii="Times New Roman" w:hAnsi="Times New Roman" w:cs="Times New Roman"/>
          <w:lang w:val="es-ES"/>
        </w:rPr>
        <w:t xml:space="preserve">, y el proceso para conseguir esta conceptualización se basó en identificar zonas con presencia de hogares pobres, concentradas en los barrios de San José del Condado y La Ofelia en la Parroquia de Ponciano; por otra parte, en </w:t>
      </w:r>
      <w:r>
        <w:rPr>
          <w:rFonts w:ascii="Times New Roman" w:hAnsi="Times New Roman"/>
          <w:lang w:val="es-EC"/>
        </w:rPr>
        <w:t>los asentamientos populares</w:t>
      </w:r>
      <w:r>
        <w:rPr>
          <w:rFonts w:ascii="Times New Roman" w:hAnsi="Times New Roman"/>
          <w:lang w:val="es-ES"/>
        </w:rPr>
        <w:t xml:space="preserve"> de</w:t>
      </w:r>
      <w:r>
        <w:rPr>
          <w:rFonts w:ascii="Times New Roman" w:hAnsi="Times New Roman"/>
          <w:lang w:val="es-EC"/>
        </w:rPr>
        <w:t xml:space="preserve"> La Pisulí, La Roldós, Cangahua,</w:t>
      </w:r>
      <w:r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C"/>
        </w:rPr>
        <w:t>Rancho San Antonio</w:t>
      </w:r>
      <w:r>
        <w:rPr>
          <w:rFonts w:ascii="Times New Roman" w:hAnsi="Times New Roman"/>
          <w:lang w:val="es-ES"/>
        </w:rPr>
        <w:t xml:space="preserve"> y</w:t>
      </w:r>
      <w:r>
        <w:rPr>
          <w:rFonts w:ascii="Times New Roman" w:hAnsi="Times New Roman"/>
          <w:lang w:val="es-EC"/>
        </w:rPr>
        <w:t xml:space="preserve"> Colinas del Norte</w:t>
      </w:r>
      <w:r>
        <w:rPr>
          <w:rFonts w:ascii="Times New Roman" w:hAnsi="Times New Roman" w:cs="Times New Roman"/>
          <w:lang w:val="es-ES"/>
        </w:rPr>
        <w:t xml:space="preserve"> en la parroquia de El Condado (INEC 2010). Dentro de estas zonas de pobreza se seleccionaron como casos de estudio los siguientes</w:t>
      </w:r>
      <w:r>
        <w:rPr>
          <w:rFonts w:ascii="Times New Roman" w:hAnsi="Times New Roman"/>
          <w:lang w:val="es-ES"/>
        </w:rPr>
        <w:t>: la urbanización informal de la Cooperativa Líder Ab. Jaime Roldós Aguilera; y, la organización popular del Barrio San José de El Condado, debido a la incidencia de conflictos urbanos y la complejidad de sus organizaciones populares.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/>
        <w:textAlignment w:val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Finalmente, los métodos socio espaciales</w:t>
      </w:r>
      <w:r>
        <w:rPr>
          <w:rFonts w:hint="default" w:ascii="Times New Roman" w:hAnsi="Times New Roman" w:cs="Times New Roman"/>
          <w:lang w:val="es-ES"/>
        </w:rPr>
        <w:t xml:space="preserve"> </w:t>
      </w:r>
      <w:r>
        <w:rPr>
          <w:rFonts w:hint="default" w:ascii="Times New Roman" w:hAnsi="Times New Roman"/>
          <w:lang w:val="es-ES"/>
        </w:rPr>
        <w:t xml:space="preserve">(Bazán y Suárez 2013) </w:t>
      </w:r>
      <w:r>
        <w:rPr>
          <w:rFonts w:ascii="Times New Roman" w:hAnsi="Times New Roman" w:cs="Times New Roman"/>
          <w:lang w:val="es-ES"/>
        </w:rPr>
        <w:t>empleados en la investigación mostraron como resultado que cada caso de estudio posee una distinta forma de organización política, distintas estrategias informales de conformación periurbana; y diferentes condiciones en las que surgen los conflictos sociales. Estos hallazgos se tejen a la conclusión de que, los asentamientos populares periurbanos del Noroccidente de Quito poseen</w:t>
      </w:r>
      <w:r>
        <w:rPr>
          <w:rFonts w:ascii="Times New Roman" w:hAnsi="Times New Roman"/>
          <w:lang w:val="es-ES"/>
        </w:rPr>
        <w:t xml:space="preserve"> altos niveles organizativos y de cohesión social, que logran construir una identidad común y promueven la movilización permanente para contrarrestar la exclusión </w:t>
      </w:r>
      <w:r>
        <w:rPr>
          <w:rFonts w:hint="default" w:ascii="Times New Roman" w:hAnsi="Times New Roman"/>
          <w:lang w:val="es-ES"/>
        </w:rPr>
        <w:t>territorial</w:t>
      </w:r>
      <w:r>
        <w:rPr>
          <w:rFonts w:ascii="Times New Roman" w:hAnsi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Palabras clave: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  <w:t>Periurbanización - Conflicto Urbano -  Asentamientos populares - Movilización Ciudadana - Pobreza Urbana - Análisis Socio espacial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Referencias bibliográficas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s-ES"/>
        </w:rPr>
        <w:t xml:space="preserve">Ávila Sánchez, Héctor. 2009. Periurbanización y espacios rurales en la periferia de las ciudades, 93-123. Estudios Agrarios. Procuraduría Agraria.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s-ES"/>
        </w:rPr>
        <w:t>Bazán, Cesar y Suarez, Manuel. 2013. Propuesta metodológica para detectar patrones geográficos de conflictos por el agua en el Estado de Morelos, 2000-2010. Investigaciones Geográficas, Boletín del Instituto de Geografía, UNAM, núm. 84, 2014, pp. 69-80.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s-ES"/>
        </w:rPr>
        <w:t>Carrión, Fernando y Erazo, Jaime. 2012. La forma urbana de Quito: una historia de centros y periferias», Bulletin de l'Institut français d'études andines, 41 (3) | 2012, 503-522.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s-ES"/>
        </w:rPr>
        <w:t>Caldeira, Teresa. 2016. Peripheral urbanization: Autoconstruction, transversal logics, and politics in cities of the global south. Environment and Planning D: Society and Space. 2017, Vol. 35(1) 3–20.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s-ES"/>
        </w:rPr>
        <w:t>Carvajal, Ana María. 2020. Conozca dónde están 4 966 lotes que están regularizándose en Quito. El Comercio. Actualidad. El telégrafo sección Quito. 16 de Enero del 2020.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s-ES"/>
        </w:rPr>
        <w:t>CIUDAD Centro de investigaciones. 1992. Diagnóstico y plan de desarrollo vecinal de los barrios populares del Noroccidente de Quito.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s-ES"/>
        </w:rPr>
        <w:t>INEC. 2010. Censo de población y vivienda del 2010.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s-ES"/>
        </w:rPr>
        <w:t>Melé, Patrice. 2019. ¿Qué producen los conflictos urbanos? El derecho a la ciudad en América Latina. CLACSO. (2019)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s-ES"/>
        </w:rPr>
        <w:t>Pradilla, Emilio. 2016. Las transformaciones de los conflictos y los movimientos sociales en las ciudades latinoamericanas. En “El derecho a la ciudad en América Latina”. Universidad Autónoma de México.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s-ES"/>
        </w:rPr>
        <w:t>Rodríguez-Mancilla, Marcelo &amp; Grondona-Opazo, Gino. 2018. Luchas urbanas en barrios populares de la ciudad de Quito: territorialidad e historicidad desde las voces de sus protagonistas. Psicología, Conocimiento y Sociedad, 8(1), 117-143.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</w:p>
    <w:sectPr>
      <w:pgSz w:w="11906" w:h="16838"/>
      <w:pgMar w:top="1417" w:right="850" w:bottom="964" w:left="1417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3A2D7"/>
    <w:multiLevelType w:val="singleLevel"/>
    <w:tmpl w:val="3053A2D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708"/>
  <w:hyphenationZone w:val="425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F0A26"/>
    <w:rsid w:val="002B23B2"/>
    <w:rsid w:val="00576D5F"/>
    <w:rsid w:val="00614804"/>
    <w:rsid w:val="007D1843"/>
    <w:rsid w:val="00AD1984"/>
    <w:rsid w:val="18F32176"/>
    <w:rsid w:val="193D54EB"/>
    <w:rsid w:val="1D1014A5"/>
    <w:rsid w:val="2828521F"/>
    <w:rsid w:val="39393E2F"/>
    <w:rsid w:val="47C36F6B"/>
    <w:rsid w:val="54D81EE5"/>
    <w:rsid w:val="57C1612F"/>
    <w:rsid w:val="5D3D00E9"/>
    <w:rsid w:val="72D87350"/>
    <w:rsid w:val="7E263D33"/>
    <w:rsid w:val="7EDD6F0A"/>
    <w:rsid w:val="7F9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qFormat/>
    <w:uiPriority w:val="0"/>
    <w:rPr>
      <w:sz w:val="16"/>
      <w:szCs w:val="16"/>
    </w:rPr>
  </w:style>
  <w:style w:type="paragraph" w:styleId="5">
    <w:name w:val="annotation subject"/>
    <w:basedOn w:val="6"/>
    <w:next w:val="6"/>
    <w:link w:val="10"/>
    <w:uiPriority w:val="0"/>
    <w:rPr>
      <w:b/>
      <w:bCs/>
    </w:rPr>
  </w:style>
  <w:style w:type="paragraph" w:styleId="6">
    <w:name w:val="annotation text"/>
    <w:basedOn w:val="1"/>
    <w:link w:val="9"/>
    <w:uiPriority w:val="0"/>
  </w:style>
  <w:style w:type="paragraph" w:styleId="7">
    <w:name w:val="Body Text Indent 3"/>
    <w:basedOn w:val="1"/>
    <w:qFormat/>
    <w:uiPriority w:val="0"/>
    <w:pPr>
      <w:spacing w:line="360" w:lineRule="auto"/>
      <w:ind w:firstLine="1440"/>
      <w:jc w:val="both"/>
    </w:pPr>
    <w:rPr>
      <w:rFonts w:ascii="Arial" w:hAnsi="Arial" w:cs="Arial"/>
      <w:sz w:val="24"/>
      <w:szCs w:val="24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9">
    <w:name w:val="Texto comentario Car"/>
    <w:basedOn w:val="2"/>
    <w:link w:val="6"/>
    <w:qFormat/>
    <w:uiPriority w:val="0"/>
    <w:rPr>
      <w:rFonts w:asciiTheme="minorHAnsi" w:hAnsiTheme="minorHAnsi" w:eastAsiaTheme="minorEastAsia" w:cstheme="minorBidi"/>
      <w:lang w:val="en-US" w:eastAsia="zh-CN"/>
    </w:rPr>
  </w:style>
  <w:style w:type="character" w:customStyle="1" w:styleId="10">
    <w:name w:val="Asunto del comentario Car"/>
    <w:basedOn w:val="9"/>
    <w:link w:val="5"/>
    <w:qFormat/>
    <w:uiPriority w:val="0"/>
    <w:rPr>
      <w:rFonts w:asciiTheme="minorHAnsi" w:hAnsiTheme="minorHAnsi" w:eastAsiaTheme="minorEastAsia" w:cstheme="minorBidi"/>
      <w:b/>
      <w:bCs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770</Words>
  <Characters>4240</Characters>
  <Lines>35</Lines>
  <Paragraphs>9</Paragraphs>
  <TotalTime>11</TotalTime>
  <ScaleCrop>false</ScaleCrop>
  <LinksUpToDate>false</LinksUpToDate>
  <CharactersWithSpaces>5001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2023-01-21T12:58:00Z</dcterms:created>
  <dc:creator>Mateo Valbra</dc:creator>
  <cp:lastModifiedBy>Mateo Valbra</cp:lastModifiedBy>
  <dcterms:modified xsi:type="dcterms:W3CDTF">2023-03-16T15:54:08Z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2058-11.2.0.11486</vt:lpwstr>
  </property>
  <property fmtid="{D5CDD505-2E9C-101B-9397-08002B2CF9AE}" pid="3" name="ICV">
    <vt:lpwstr>C24CB9F45ADE491A8C442F9A4FA0919E</vt:lpwstr>
  </property>
</Properties>
</file>