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89"/>
      </w:tblGrid>
      <w:tr w:rsidR="003E53B5" w:rsidRPr="003E53B5" w14:paraId="2CA90300" w14:textId="77777777" w:rsidTr="006C5903">
        <w:tc>
          <w:tcPr>
            <w:tcW w:w="9678" w:type="dxa"/>
            <w:gridSpan w:val="2"/>
          </w:tcPr>
          <w:p w14:paraId="1DADB943" w14:textId="77777777" w:rsidR="003E53B5" w:rsidRPr="003E53B5" w:rsidRDefault="003E53B5" w:rsidP="006C5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</w:pPr>
            <w:bookmarkStart w:id="0" w:name="_Hlk129955551"/>
            <w:r w:rsidRPr="003E53B5">
              <w:rPr>
                <w:rFonts w:ascii="Times New Roman" w:eastAsia="Times New Roman" w:hAnsi="Times New Roman" w:cs="Times New Roman"/>
                <w:b/>
                <w:bCs/>
                <w:color w:val="291F08"/>
                <w:sz w:val="32"/>
                <w:szCs w:val="32"/>
                <w:lang w:val="es-EC"/>
              </w:rPr>
              <w:t>Caracterización geomorfológica del flanco sur de la cordillera submarina de Carnegie a fin de aplicar el artículo 76 de la CONVEMAR</w:t>
            </w:r>
          </w:p>
        </w:tc>
      </w:tr>
      <w:tr w:rsidR="003E53B5" w:rsidRPr="003E53B5" w14:paraId="5800F6DD" w14:textId="77777777" w:rsidTr="007D0CD4">
        <w:tc>
          <w:tcPr>
            <w:tcW w:w="9678" w:type="dxa"/>
            <w:gridSpan w:val="2"/>
          </w:tcPr>
          <w:p w14:paraId="2B4A2F2F" w14:textId="16CBBBCF" w:rsidR="003E53B5" w:rsidRPr="003E53B5" w:rsidRDefault="003E53B5" w:rsidP="003E53B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291F08"/>
                <w:sz w:val="24"/>
                <w:szCs w:val="24"/>
                <w:lang w:val="es-EC"/>
              </w:rPr>
            </w:pPr>
            <w:r w:rsidRPr="003E53B5">
              <w:rPr>
                <w:rFonts w:ascii="Times New Roman" w:eastAsia="Times New Roman" w:hAnsi="Times New Roman" w:cs="Times New Roman"/>
                <w:i/>
                <w:iCs/>
                <w:color w:val="291F08"/>
                <w:sz w:val="24"/>
                <w:szCs w:val="24"/>
                <w:lang w:val="es-EC"/>
              </w:rPr>
              <w:t>Instituto Oceanográfico y Antártico de la Armada (INOCAR)</w:t>
            </w:r>
          </w:p>
        </w:tc>
      </w:tr>
      <w:tr w:rsidR="003E53B5" w:rsidRPr="003E53B5" w14:paraId="69D3ED8D" w14:textId="77777777" w:rsidTr="006C5903">
        <w:tc>
          <w:tcPr>
            <w:tcW w:w="2689" w:type="dxa"/>
          </w:tcPr>
          <w:p w14:paraId="6AE4F1A9" w14:textId="77777777" w:rsidR="003E53B5" w:rsidRPr="003E53B5" w:rsidRDefault="003E53B5" w:rsidP="006C59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91F08"/>
                <w:sz w:val="24"/>
                <w:szCs w:val="24"/>
                <w:lang w:val="es-EC"/>
              </w:rPr>
            </w:pPr>
            <w:r w:rsidRPr="003E53B5">
              <w:rPr>
                <w:rFonts w:ascii="Times New Roman" w:eastAsia="Times New Roman" w:hAnsi="Times New Roman" w:cs="Times New Roman"/>
                <w:b/>
                <w:bCs/>
                <w:color w:val="291F08"/>
                <w:sz w:val="24"/>
                <w:szCs w:val="24"/>
                <w:lang w:val="es-EC"/>
              </w:rPr>
              <w:t>Nombre y Apellidos:</w:t>
            </w:r>
          </w:p>
        </w:tc>
        <w:tc>
          <w:tcPr>
            <w:tcW w:w="6989" w:type="dxa"/>
          </w:tcPr>
          <w:p w14:paraId="6C17D85A" w14:textId="77777777" w:rsidR="003E53B5" w:rsidRPr="003E53B5" w:rsidRDefault="003E53B5" w:rsidP="006C59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3E53B5">
              <w:rPr>
                <w:rFonts w:ascii="Times New Roman" w:eastAsia="Times New Roman" w:hAnsi="Times New Roman" w:cs="Times New Roman"/>
                <w:color w:val="291F08"/>
                <w:sz w:val="24"/>
                <w:szCs w:val="24"/>
                <w:lang w:val="es-EC"/>
              </w:rPr>
              <w:t>Carolina Stefany Rivas Fajardo</w:t>
            </w:r>
          </w:p>
        </w:tc>
      </w:tr>
      <w:tr w:rsidR="003E53B5" w:rsidRPr="003E53B5" w14:paraId="4B466A1D" w14:textId="77777777" w:rsidTr="006C5903">
        <w:tc>
          <w:tcPr>
            <w:tcW w:w="2689" w:type="dxa"/>
          </w:tcPr>
          <w:p w14:paraId="024D39FB" w14:textId="77777777" w:rsidR="003E53B5" w:rsidRPr="003E53B5" w:rsidRDefault="003E53B5" w:rsidP="006C59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91F08"/>
                <w:sz w:val="24"/>
                <w:szCs w:val="24"/>
                <w:lang w:val="es-EC"/>
              </w:rPr>
            </w:pPr>
            <w:r w:rsidRPr="003E53B5">
              <w:rPr>
                <w:rFonts w:ascii="Times New Roman" w:eastAsia="Times New Roman" w:hAnsi="Times New Roman" w:cs="Times New Roman"/>
                <w:b/>
                <w:bCs/>
                <w:color w:val="291F08"/>
                <w:sz w:val="24"/>
                <w:szCs w:val="24"/>
                <w:lang w:val="es-EC"/>
              </w:rPr>
              <w:t>Tema de procedencia:</w:t>
            </w:r>
          </w:p>
        </w:tc>
        <w:tc>
          <w:tcPr>
            <w:tcW w:w="6989" w:type="dxa"/>
          </w:tcPr>
          <w:p w14:paraId="67B5FA0B" w14:textId="77777777" w:rsidR="003E53B5" w:rsidRPr="003E53B5" w:rsidRDefault="003E53B5" w:rsidP="006C5903">
            <w:pPr>
              <w:jc w:val="both"/>
              <w:rPr>
                <w:rFonts w:ascii="Times New Roman" w:eastAsia="Times New Roman" w:hAnsi="Times New Roman" w:cs="Times New Roman"/>
                <w:color w:val="291F08"/>
                <w:sz w:val="24"/>
                <w:szCs w:val="24"/>
                <w:lang w:val="es-EC"/>
              </w:rPr>
            </w:pPr>
            <w:r w:rsidRPr="003E53B5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Trabajo técnico realizado en su ejercicio profesional</w:t>
            </w:r>
          </w:p>
        </w:tc>
      </w:tr>
      <w:tr w:rsidR="003E53B5" w:rsidRPr="003E53B5" w14:paraId="24E482E9" w14:textId="77777777" w:rsidTr="006C5903">
        <w:tc>
          <w:tcPr>
            <w:tcW w:w="2689" w:type="dxa"/>
          </w:tcPr>
          <w:p w14:paraId="6761BD83" w14:textId="77777777" w:rsidR="003E53B5" w:rsidRPr="003E53B5" w:rsidRDefault="003E53B5" w:rsidP="006C59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91F08"/>
                <w:sz w:val="24"/>
                <w:szCs w:val="24"/>
                <w:lang w:val="es-EC"/>
              </w:rPr>
            </w:pPr>
            <w:r w:rsidRPr="003E53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C"/>
              </w:rPr>
              <w:t>Ejes temáticos:</w:t>
            </w:r>
          </w:p>
        </w:tc>
        <w:tc>
          <w:tcPr>
            <w:tcW w:w="6989" w:type="dxa"/>
          </w:tcPr>
          <w:p w14:paraId="2BB048C5" w14:textId="0933A4E3" w:rsidR="003E53B5" w:rsidRPr="003E53B5" w:rsidRDefault="003E53B5" w:rsidP="006C5903">
            <w:pPr>
              <w:jc w:val="both"/>
              <w:rPr>
                <w:rFonts w:ascii="Times New Roman" w:eastAsia="Times New Roman" w:hAnsi="Times New Roman" w:cs="Times New Roman"/>
                <w:color w:val="291F08"/>
                <w:sz w:val="24"/>
                <w:szCs w:val="24"/>
                <w:lang w:val="es-EC"/>
              </w:rPr>
            </w:pPr>
            <w:r w:rsidRPr="003E53B5">
              <w:rPr>
                <w:rFonts w:ascii="Times New Roman" w:eastAsia="Times New Roman" w:hAnsi="Times New Roman" w:cs="Times New Roman"/>
                <w:color w:val="291F08"/>
                <w:sz w:val="24"/>
                <w:szCs w:val="24"/>
                <w:lang w:val="es-EC"/>
              </w:rPr>
              <w:t>Geografía, ciencias de la vida y el ambiente y gestión del riesgo</w:t>
            </w:r>
          </w:p>
        </w:tc>
      </w:tr>
      <w:tr w:rsidR="003E53B5" w:rsidRPr="003E53B5" w14:paraId="4D42548A" w14:textId="77777777" w:rsidTr="006C5903">
        <w:tc>
          <w:tcPr>
            <w:tcW w:w="2689" w:type="dxa"/>
          </w:tcPr>
          <w:p w14:paraId="6D7EFA36" w14:textId="77777777" w:rsidR="003E53B5" w:rsidRPr="003E53B5" w:rsidRDefault="003E53B5" w:rsidP="006C5903">
            <w:pPr>
              <w:jc w:val="both"/>
              <w:rPr>
                <w:rFonts w:ascii="Times New Roman" w:eastAsia="Times New Roman" w:hAnsi="Times New Roman" w:cs="Times New Roman"/>
                <w:color w:val="291F08"/>
                <w:sz w:val="24"/>
                <w:szCs w:val="24"/>
                <w:lang w:val="es-EC"/>
              </w:rPr>
            </w:pPr>
            <w:r w:rsidRPr="003E5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/>
              </w:rPr>
              <w:t>Temas referenciales:</w:t>
            </w:r>
          </w:p>
        </w:tc>
        <w:tc>
          <w:tcPr>
            <w:tcW w:w="6989" w:type="dxa"/>
          </w:tcPr>
          <w:p w14:paraId="3B51D417" w14:textId="77777777" w:rsidR="003E53B5" w:rsidRPr="003E53B5" w:rsidRDefault="003E53B5" w:rsidP="006C5903">
            <w:pPr>
              <w:jc w:val="both"/>
              <w:rPr>
                <w:rFonts w:ascii="Times New Roman" w:eastAsia="Times New Roman" w:hAnsi="Times New Roman" w:cs="Times New Roman"/>
                <w:color w:val="291F08"/>
                <w:sz w:val="24"/>
                <w:szCs w:val="24"/>
                <w:lang w:val="es-EC"/>
              </w:rPr>
            </w:pPr>
            <w:r w:rsidRPr="003E53B5">
              <w:rPr>
                <w:rFonts w:ascii="Times New Roman" w:eastAsia="Times New Roman" w:hAnsi="Times New Roman" w:cs="Times New Roman"/>
                <w:color w:val="291F08"/>
                <w:sz w:val="24"/>
                <w:szCs w:val="24"/>
                <w:lang w:val="es-EC"/>
              </w:rPr>
              <w:t>Conservación y gobernanza</w:t>
            </w:r>
          </w:p>
        </w:tc>
      </w:tr>
      <w:bookmarkEnd w:id="0"/>
    </w:tbl>
    <w:p w14:paraId="3055A698" w14:textId="3677220D" w:rsidR="00F52C10" w:rsidRPr="003E53B5" w:rsidRDefault="00F52C10" w:rsidP="00F52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</w:p>
    <w:p w14:paraId="136215C8" w14:textId="6CB75CC1" w:rsidR="003E53B5" w:rsidRPr="003E53B5" w:rsidRDefault="003E53B5" w:rsidP="00F52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1F08"/>
          <w:sz w:val="24"/>
          <w:szCs w:val="24"/>
          <w:lang w:val="es-EC"/>
        </w:rPr>
      </w:pPr>
      <w:r w:rsidRPr="003E53B5">
        <w:rPr>
          <w:rFonts w:ascii="Times New Roman" w:eastAsia="Times New Roman" w:hAnsi="Times New Roman" w:cs="Times New Roman"/>
          <w:b/>
          <w:bCs/>
          <w:color w:val="291F08"/>
          <w:sz w:val="24"/>
          <w:szCs w:val="24"/>
          <w:lang w:val="es-EC"/>
        </w:rPr>
        <w:t xml:space="preserve">Resumen: </w:t>
      </w:r>
    </w:p>
    <w:p w14:paraId="6164AED6" w14:textId="77777777" w:rsidR="003E53B5" w:rsidRPr="003E53B5" w:rsidRDefault="003E53B5" w:rsidP="00F52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</w:p>
    <w:p w14:paraId="33F75A7F" w14:textId="5260A579" w:rsidR="00083023" w:rsidRPr="003E53B5" w:rsidRDefault="00083023" w:rsidP="0008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  <w:r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Ecuador, adherida a la CONVEMAR en septiembre del 2012, desarrolló el proyecto “Sustentos Técnicos para Lograr la Ampliación de la Plataforma Continental y la Caracterización Estratégica del Estado para la Identificación e Inventario de Recursos no Vivos” (</w:t>
      </w:r>
      <w:r w:rsidRPr="003E53B5">
        <w:rPr>
          <w:rFonts w:ascii="Times New Roman" w:eastAsia="Times New Roman" w:hAnsi="Times New Roman" w:cs="Times New Roman"/>
          <w:b/>
          <w:bCs/>
          <w:color w:val="291F08"/>
          <w:sz w:val="24"/>
          <w:szCs w:val="24"/>
          <w:lang w:val="es-EC"/>
        </w:rPr>
        <w:t>SUTPLA I</w:t>
      </w:r>
      <w:r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) 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con el propósito</w:t>
      </w:r>
      <w:r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de aplicar el artículo 76 de la CONVEMAR donde permite </w:t>
      </w:r>
      <w:r w:rsidR="002F54C0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a los </w:t>
      </w:r>
      <w:r w:rsidR="00192FA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E</w:t>
      </w:r>
      <w:r w:rsidR="002F54C0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stados </w:t>
      </w:r>
      <w:r w:rsidR="00192FA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R</w:t>
      </w:r>
      <w:r w:rsidR="002F54C0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ibereños </w:t>
      </w:r>
      <w:r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obtener derechos soberanos sobre los recursos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vivos y no vivos</w:t>
      </w:r>
      <w:r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del lecho marino y del subsuelo de las "extensiones sumergidas de su plataforma continental" más allá del límite de las 200 M de su Zona Económica Exclusiva. </w:t>
      </w:r>
    </w:p>
    <w:p w14:paraId="44763BFD" w14:textId="77777777" w:rsidR="00083023" w:rsidRPr="003E53B5" w:rsidRDefault="00083023" w:rsidP="00F52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</w:p>
    <w:p w14:paraId="2D66879B" w14:textId="7390F538" w:rsidR="00192FA5" w:rsidRDefault="00083023" w:rsidP="0008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  <w:r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El articulo 76 brinda pautas de cómo se debe realizar el trazado del límite exterior ampliado, e indica que </w:t>
      </w:r>
      <w:r w:rsidR="00192FA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mediante</w:t>
      </w:r>
      <w:r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regla general el pie de talud </w:t>
      </w:r>
      <w:r w:rsidR="00A603F1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continental </w:t>
      </w:r>
      <w:r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será definido </w:t>
      </w:r>
      <w:r w:rsidR="00192FA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como</w:t>
      </w:r>
      <w:r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máximo cambio de gradiente. </w:t>
      </w:r>
      <w:r w:rsidR="00A603F1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No obstante, </w:t>
      </w:r>
      <w:r w:rsidR="00192FA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en un caso no idealizado </w:t>
      </w:r>
      <w:r w:rsidR="00A73F7A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las</w:t>
      </w:r>
      <w:r w:rsidR="00A603F1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irregularidades topográficas del terreno marcan </w:t>
      </w:r>
      <w:r w:rsidR="002F54C0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varios puntos de </w:t>
      </w:r>
      <w:r w:rsidR="00A603F1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máximos </w:t>
      </w:r>
      <w:r w:rsidR="00A73F7A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cambios</w:t>
      </w:r>
      <w:r w:rsidR="002F54C0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de gradiente</w:t>
      </w:r>
      <w:r w:rsidR="00A73F7A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locales</w:t>
      </w:r>
      <w:r w:rsidR="00A603F1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, por ende, </w:t>
      </w:r>
      <w:r w:rsidR="002F54C0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a fin de justificar que estas irregularidades son propias de cada accidente del margen continental se realizó una caracterización geomorfológica </w:t>
      </w:r>
      <w:r w:rsidR="00192FA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a lo largo del mismo, definiendo las unidades geomorfológicas de manera cualitativa y cuantitativa a fin de evitar sesgos y así sustentar 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la plataforma continental ecuatoriana ampliada</w:t>
      </w:r>
      <w:r w:rsidR="00192FA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.</w:t>
      </w:r>
    </w:p>
    <w:p w14:paraId="5E73F2F7" w14:textId="3347E2FA" w:rsidR="00192FA5" w:rsidRDefault="00192FA5" w:rsidP="00083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</w:p>
    <w:p w14:paraId="5F0FFD69" w14:textId="2FD0F0C0" w:rsidR="007B5FA9" w:rsidRDefault="007B5FA9" w:rsidP="00793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Partiendo 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de una batimetría multihaz de alta resolución levantada por el BAE Orión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y de un </w:t>
      </w:r>
      <w:r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estudio previo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donde </w:t>
      </w:r>
      <w:r w:rsidR="0076244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se 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define</w:t>
      </w:r>
      <w:r w:rsidR="0079330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n los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rasgos geomorfológicos principales </w:t>
      </w:r>
      <w:r w:rsidR="0079330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en la </w:t>
      </w:r>
      <w:r w:rsidR="0076244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c</w:t>
      </w:r>
      <w:r w:rsidR="0079330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ordillera </w:t>
      </w:r>
      <w:r w:rsidR="0076244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submarina </w:t>
      </w:r>
      <w:r w:rsidR="0079330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de Carnegie tales 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como </w:t>
      </w:r>
      <w:r w:rsidR="003106D7" w:rsidRP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terrazas, elevaciones submarinas, canales y depresiones</w:t>
      </w:r>
      <w:r w:rsidR="0079330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</w:t>
      </w:r>
      <w:r w:rsidR="0079330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(</w:t>
      </w:r>
      <w:r w:rsidR="00793307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Witt et al, 2010</w:t>
      </w:r>
      <w:r w:rsidR="0079330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)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; </w:t>
      </w:r>
      <w:r w:rsidR="00390D10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se emplearon tres tipos de metodología para el mapeo de cada unidad: (1)</w:t>
      </w:r>
      <w:r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d</w:t>
      </w:r>
      <w:r w:rsidR="00390D10" w:rsidRPr="00390D10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igitalización manual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, (2) d</w:t>
      </w:r>
      <w:r w:rsidR="003106D7" w:rsidRP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igitalización manual asistida por algoritmo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y (3) d</w:t>
      </w:r>
      <w:r w:rsidR="003106D7" w:rsidRP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igitalización de algoritmos con verificación visual</w:t>
      </w:r>
      <w:r w:rsidR="003106D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. </w:t>
      </w:r>
      <w:r w:rsidR="0079330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La clasificación de las unidades definidas se basó </w:t>
      </w:r>
      <w:r w:rsidR="00966EC9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principalmente </w:t>
      </w:r>
      <w:r w:rsidR="0079330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en conceptos morfométricos brindados por el </w:t>
      </w:r>
      <w:r w:rsidR="00793307" w:rsidRPr="0079330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Subcomité sobre Nombres de los Accidentes Topográficos Submarinos (SCUFN)</w:t>
      </w:r>
      <w:r w:rsidR="00966EC9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.</w:t>
      </w:r>
    </w:p>
    <w:p w14:paraId="35880EB5" w14:textId="3FA909F9" w:rsidR="00966EC9" w:rsidRDefault="00966EC9" w:rsidP="00793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</w:p>
    <w:p w14:paraId="286635E9" w14:textId="77777777" w:rsidR="00966EC9" w:rsidRDefault="00966EC9" w:rsidP="007933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En general, en el flanco sur de la Cordillera de Carnegie se definieron las siguientes unidades:</w:t>
      </w:r>
    </w:p>
    <w:p w14:paraId="7B6487C5" w14:textId="77777777" w:rsidR="00342432" w:rsidRPr="00342432" w:rsidRDefault="00966EC9" w:rsidP="0034243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  <w:r w:rsidRPr="00342432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Terrazas submarinas: cuatro unidades con distintas dimensiones. Cada una de ellas yacentes en la plataforma continental; un acuñamiento de sedimentos al pie de la última terraza marcaria un tipo de talud continental</w:t>
      </w:r>
      <w:r w:rsidR="00342432" w:rsidRPr="00342432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, mismo que marca la transición hacia el fondo marino profundo.</w:t>
      </w:r>
    </w:p>
    <w:p w14:paraId="36998BAD" w14:textId="77777777" w:rsidR="00342432" w:rsidRPr="00342432" w:rsidRDefault="00342432" w:rsidP="0034243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  <w:r w:rsidRPr="00342432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Canales submarinos: dos canales con dirección E-O y uno N-S, ambos con distintas geometrías y procesos de formación. </w:t>
      </w:r>
    </w:p>
    <w:p w14:paraId="1B671D7A" w14:textId="52950C28" w:rsidR="00342432" w:rsidRPr="00342432" w:rsidRDefault="00342432" w:rsidP="0034243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  <w:r w:rsidRPr="00342432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Elevaciones submarinas: </w:t>
      </w:r>
      <w:r w:rsidR="0076244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por su geometría, simetría y altura se definen picos, colinas, lomas y pináculos.</w:t>
      </w:r>
    </w:p>
    <w:p w14:paraId="00B0B345" w14:textId="635D6925" w:rsidR="00966EC9" w:rsidRDefault="00342432" w:rsidP="0034243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  <w:r w:rsidRPr="00342432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Depresiones submarinas: </w:t>
      </w:r>
      <w:r w:rsidR="0076244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340 depresiones circulares, un </w:t>
      </w:r>
      <w:proofErr w:type="spellStart"/>
      <w:r w:rsidR="0076244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crevice</w:t>
      </w:r>
      <w:proofErr w:type="spellEnd"/>
      <w:r w:rsidR="0076244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y aproximadamente 16 fosos; estas unidades son características de las cordilleras submarinas que se encuentran en esta zona, no se observa este tipo de rasgo en la región del piso oceánico.</w:t>
      </w:r>
    </w:p>
    <w:p w14:paraId="1420376A" w14:textId="663BEFCA" w:rsidR="00BB1A4D" w:rsidRDefault="00762445" w:rsidP="00342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lastRenderedPageBreak/>
        <w:t>Como resultado del análisis elaborado se pudo sustentar la ubicación de los pies de talud continental</w:t>
      </w:r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cumpliendo satisfactoriamente los objetivos del proyecto</w:t>
      </w:r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. Dos presentaciones se entregaron por parte del estado ecuatoriano</w:t>
      </w:r>
      <w:r w:rsidR="00BB1A4D" w:rsidRP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ante la Comisión:  Presentación parcial conjunta entre Costa Rica y Ecuador en la Cuenca de Panamá (2020); y Presentación parcial en la región sur de la cordillera submarina de Carnegie (2022).</w:t>
      </w:r>
    </w:p>
    <w:p w14:paraId="2B22C5E7" w14:textId="77777777" w:rsidR="00BB1A4D" w:rsidRDefault="00BB1A4D" w:rsidP="00F52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</w:p>
    <w:p w14:paraId="2BE73063" w14:textId="1A635104" w:rsidR="00A921CF" w:rsidRDefault="00A921CF" w:rsidP="00F52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  <w:r w:rsidRPr="00BB1A4D">
        <w:rPr>
          <w:rFonts w:ascii="Times New Roman" w:eastAsia="Times New Roman" w:hAnsi="Times New Roman" w:cs="Times New Roman"/>
          <w:b/>
          <w:bCs/>
          <w:color w:val="291F08"/>
          <w:sz w:val="24"/>
          <w:szCs w:val="24"/>
          <w:lang w:val="es-EC"/>
        </w:rPr>
        <w:t>Palabras clave</w:t>
      </w:r>
      <w:r w:rsidR="00F52C10" w:rsidRPr="00BB1A4D">
        <w:rPr>
          <w:rFonts w:ascii="Times New Roman" w:eastAsia="Times New Roman" w:hAnsi="Times New Roman" w:cs="Times New Roman"/>
          <w:b/>
          <w:bCs/>
          <w:color w:val="291F08"/>
          <w:sz w:val="24"/>
          <w:szCs w:val="24"/>
          <w:lang w:val="es-EC"/>
        </w:rPr>
        <w:t>:</w:t>
      </w:r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 </w:t>
      </w:r>
      <w:proofErr w:type="spellStart"/>
      <w:r w:rsidR="00BB1A4D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Convemar</w:t>
      </w:r>
      <w:proofErr w:type="spellEnd"/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, </w:t>
      </w:r>
      <w:r w:rsidR="00BB1A4D" w:rsidRPr="003E53B5">
        <w:rPr>
          <w:rFonts w:ascii="Times New Roman" w:eastAsia="Times New Roman" w:hAnsi="Times New Roman" w:cs="Times New Roman"/>
          <w:b/>
          <w:bCs/>
          <w:color w:val="291F08"/>
          <w:sz w:val="24"/>
          <w:szCs w:val="24"/>
          <w:lang w:val="es-EC"/>
        </w:rPr>
        <w:t>SUTPLA I</w:t>
      </w:r>
      <w:r w:rsidR="00BB1A4D">
        <w:rPr>
          <w:rFonts w:ascii="Times New Roman" w:eastAsia="Times New Roman" w:hAnsi="Times New Roman" w:cs="Times New Roman"/>
          <w:b/>
          <w:bCs/>
          <w:color w:val="291F08"/>
          <w:sz w:val="24"/>
          <w:szCs w:val="24"/>
          <w:lang w:val="es-EC"/>
        </w:rPr>
        <w:t xml:space="preserve">, </w:t>
      </w:r>
      <w:r w:rsidR="00BB1A4D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plataforma continental</w:t>
      </w:r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, e</w:t>
      </w:r>
      <w:r w:rsidR="00BB1A4D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stados </w:t>
      </w:r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r</w:t>
      </w:r>
      <w:r w:rsidR="00BB1A4D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ibereños</w:t>
      </w:r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, </w:t>
      </w:r>
      <w:r w:rsidR="00BB1A4D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articulo 76</w:t>
      </w:r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, </w:t>
      </w:r>
      <w:r w:rsidR="00BB1A4D" w:rsidRPr="003E53B5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máximo cambio de gradiente</w:t>
      </w:r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, unidades geomorfológicas, </w:t>
      </w:r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BAE Orión</w:t>
      </w:r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, Carnegie, </w:t>
      </w:r>
      <w:r w:rsidR="00BB1A4D" w:rsidRPr="0079330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SCUFN</w:t>
      </w:r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 xml:space="preserve">, cordillera submarina, </w:t>
      </w:r>
      <w:r w:rsidR="00BB1A4D" w:rsidRPr="00793307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accidentes topográficos</w:t>
      </w:r>
      <w:r w:rsidR="00BB1A4D"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  <w:t>.</w:t>
      </w:r>
    </w:p>
    <w:p w14:paraId="6F27D354" w14:textId="77777777" w:rsidR="00BB1A4D" w:rsidRPr="003E53B5" w:rsidRDefault="00BB1A4D" w:rsidP="00F52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</w:p>
    <w:p w14:paraId="5F3809D9" w14:textId="17444E5A" w:rsidR="00A921CF" w:rsidRPr="00BB1A4D" w:rsidRDefault="00A921CF" w:rsidP="00F52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1F08"/>
          <w:sz w:val="24"/>
          <w:szCs w:val="24"/>
          <w:lang w:val="es-EC"/>
        </w:rPr>
      </w:pPr>
      <w:r w:rsidRPr="00BB1A4D">
        <w:rPr>
          <w:rFonts w:ascii="Times New Roman" w:eastAsia="Times New Roman" w:hAnsi="Times New Roman" w:cs="Times New Roman"/>
          <w:b/>
          <w:bCs/>
          <w:color w:val="291F08"/>
          <w:sz w:val="24"/>
          <w:szCs w:val="24"/>
          <w:lang w:val="es-EC"/>
        </w:rPr>
        <w:t>Referencias bibliográficas</w:t>
      </w:r>
      <w:r w:rsidR="00F52C10" w:rsidRPr="00BB1A4D">
        <w:rPr>
          <w:rFonts w:ascii="Times New Roman" w:eastAsia="Times New Roman" w:hAnsi="Times New Roman" w:cs="Times New Roman"/>
          <w:b/>
          <w:bCs/>
          <w:color w:val="291F08"/>
          <w:sz w:val="24"/>
          <w:szCs w:val="24"/>
          <w:lang w:val="es-EC"/>
        </w:rPr>
        <w:t>:</w:t>
      </w:r>
    </w:p>
    <w:p w14:paraId="73B80A53" w14:textId="3665C810" w:rsidR="003E53B5" w:rsidRDefault="003E53B5" w:rsidP="00F52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</w:p>
    <w:p w14:paraId="45A18315" w14:textId="77777777" w:rsidR="00BB1A4D" w:rsidRPr="009C0F0F" w:rsidRDefault="00BB1A4D" w:rsidP="00BB1A4D">
      <w:pPr>
        <w:widowControl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F0F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9C0F0F">
        <w:rPr>
          <w:rFonts w:ascii="Times New Roman" w:hAnsi="Times New Roman" w:cs="Times New Roman"/>
          <w:sz w:val="24"/>
          <w:szCs w:val="24"/>
          <w:lang w:val="en-US"/>
        </w:rPr>
        <w:instrText xml:space="preserve">ADDIN Mendeley Bibliography CSL_BIBLIOGRAPHY </w:instrText>
      </w:r>
      <w:r w:rsidRPr="009C0F0F">
        <w:rPr>
          <w:rFonts w:ascii="Times New Roman" w:hAnsi="Times New Roman" w:cs="Times New Roman"/>
          <w:sz w:val="24"/>
          <w:szCs w:val="24"/>
        </w:rPr>
        <w:fldChar w:fldCharType="separate"/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>Brooks, C. (2014). Erosion and Sedimentation on the Carnegie Ridge, Eastern Equatorial Pacific., (December).</w:t>
      </w:r>
    </w:p>
    <w:p w14:paraId="602E8DC6" w14:textId="77777777" w:rsidR="00BB1A4D" w:rsidRPr="009C0F0F" w:rsidRDefault="00BB1A4D" w:rsidP="00BB1A4D">
      <w:pPr>
        <w:widowControl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Hauff, F., Hoernle, K., van den Bogaard, P., Alvarado, G., &amp; Garbe-Schönberg, D. (2000). Age and geochemistry of basaltic complexes in western Costa Rica: Contributions to the geotectonic evolution of Central America.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Geochemistry, Geophysics, Geosystems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1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>(5), n/a-n/a. https://doi.org/10.1029/1999GC000020</w:t>
      </w:r>
    </w:p>
    <w:p w14:paraId="7501DA44" w14:textId="77777777" w:rsidR="00BB1A4D" w:rsidRPr="009C0F0F" w:rsidRDefault="00BB1A4D" w:rsidP="00BB1A4D">
      <w:pPr>
        <w:widowControl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>IHO. (2013). Standardization of Undersea Feature Names: Guidelines, Proposal Form, Terminology. Monaco: International Hydrographyc Organization.</w:t>
      </w:r>
    </w:p>
    <w:p w14:paraId="631F4DC6" w14:textId="77777777" w:rsidR="00BB1A4D" w:rsidRPr="009C0F0F" w:rsidRDefault="00BB1A4D" w:rsidP="00BB1A4D">
      <w:pPr>
        <w:widowControl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Krivoguz, D., &amp; Bespalova, L. (2017). Spatial analysis of topography of Kerch peninsula using GIS and its impact on landslides.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International Journal of Professional Science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>, (6), 19–32.</w:t>
      </w:r>
    </w:p>
    <w:p w14:paraId="42F79480" w14:textId="77777777" w:rsidR="00BB1A4D" w:rsidRPr="009C0F0F" w:rsidRDefault="00BB1A4D" w:rsidP="00BB1A4D">
      <w:pPr>
        <w:widowControl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Kusch, S., Eglinton, T. I., Mix, A. C., &amp; Mollenhauer, G. (2010). Timescales of lateral sediment transport in the Panama Basin as revealed by radiocarbon ages of alkenones, total organic carbon and foraminifera.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Earth and Planetary Science Letters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290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>(3–4), 340–350. https://doi.org/10.1016/j.epsl.2009.12.030</w:t>
      </w:r>
    </w:p>
    <w:p w14:paraId="2F08B7BC" w14:textId="77777777" w:rsidR="00BB1A4D" w:rsidRPr="009C0F0F" w:rsidRDefault="00BB1A4D" w:rsidP="00BB1A4D">
      <w:pPr>
        <w:widowControl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Lonsdale, P. (1977). Inflow of bottom water to the Panama Basin.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Deep-Sea Research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24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>(12). https://doi.org/10.1016/0146-6291(77)90514-8</w:t>
      </w:r>
    </w:p>
    <w:p w14:paraId="7C7D7AD7" w14:textId="77777777" w:rsidR="00BB1A4D" w:rsidRPr="009C0F0F" w:rsidRDefault="00BB1A4D" w:rsidP="00BB1A4D">
      <w:pPr>
        <w:widowControl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O’Connor, J. M., Stoffers, P., Wijbrans, J. R., &amp; Worthington, T. J. (2007). Migration of widespread long-lived volcanism across the Galápagos Volcanic Province: Evidence for a broad hotspot melting anomaly?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Earth and Planetary Science Letters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263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>(3–4), 339–354. https://doi.org/10.1016/j.epsl.2007.09.007</w:t>
      </w:r>
    </w:p>
    <w:p w14:paraId="74DE783F" w14:textId="77777777" w:rsidR="00BB1A4D" w:rsidRPr="009C0F0F" w:rsidRDefault="00BB1A4D" w:rsidP="00BB1A4D">
      <w:pPr>
        <w:widowControl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Pazmiño, N. (2005).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Sediment Distribution and Depositional Processes on the Carnegie Ridge Sediment Distribution and Depositional Processes on the Carnegie Ridge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>. Texas A&amp;M University. Retrieved from http://hdl.handle.net/1969.1/2438</w:t>
      </w:r>
    </w:p>
    <w:p w14:paraId="15B809B1" w14:textId="77777777" w:rsidR="00BB1A4D" w:rsidRPr="009C0F0F" w:rsidRDefault="00BB1A4D" w:rsidP="00BB1A4D">
      <w:pPr>
        <w:widowControl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>Stagpoole, V., &amp; Mackay, K. (2020). Cookbook for Generic Terms of undersea feature names - Draft Version. Retrieved from https://iho.int/en/scufn33-2020</w:t>
      </w:r>
    </w:p>
    <w:p w14:paraId="50588811" w14:textId="77777777" w:rsidR="00BB1A4D" w:rsidRPr="009C0F0F" w:rsidRDefault="00BB1A4D" w:rsidP="00BB1A4D">
      <w:pPr>
        <w:widowControl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van Andel, T. H., Heath, G. R., Bennett, R. H., Bukry, J. D., Charleston, S., Cronan, D. S., … Yeats, R. S. (1973a). Site 156. In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Initial Reports of the Deep Sea Drilling Project, 16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(pp. 11–12). U.S. Government Printing Office. https://doi.org/10.2973/dsdp.proc.16.103.1973</w:t>
      </w:r>
    </w:p>
    <w:p w14:paraId="6F68D9ED" w14:textId="77777777" w:rsidR="00BB1A4D" w:rsidRPr="009C0F0F" w:rsidRDefault="00BB1A4D" w:rsidP="00BB1A4D">
      <w:pPr>
        <w:widowControl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van Andel, T. H., Heath, G. R., Bennett, R. H., Bukry, J. D., Charleston, S., Cronan, D. S., … Yeats, R. S. (1973b). Site 157. In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Initial Reports of the Deep Sea Drilling Project, 16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(pp. 12–14). 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U.S. Government Printing Office. https://doi.org/10.2973/dsdp.proc.16.104.1973</w:t>
      </w:r>
    </w:p>
    <w:p w14:paraId="247D4C90" w14:textId="77777777" w:rsidR="00BB1A4D" w:rsidRPr="009C0F0F" w:rsidRDefault="00BB1A4D" w:rsidP="00BB1A4D">
      <w:pPr>
        <w:widowControl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Werner, R., Hoernle, K., Barckhausen, U., &amp; Hauff, F. (2003). Geodynamic evolution of the Galápagos hot spot system (Central East Pacific) over the past 20 m.y.: Constraints from morphology, geochemistry, and magnetic anomalies.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Geochemistry, Geophysics, Geosystems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</w:t>
      </w:r>
      <w:r w:rsidRPr="009C0F0F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4</w:t>
      </w:r>
      <w:r w:rsidRPr="009C0F0F">
        <w:rPr>
          <w:rFonts w:ascii="Times New Roman" w:hAnsi="Times New Roman" w:cs="Times New Roman"/>
          <w:noProof/>
          <w:sz w:val="24"/>
          <w:szCs w:val="24"/>
          <w:lang w:val="en-US"/>
        </w:rPr>
        <w:t>(12). https://doi.org/10.1029/2003GC000576</w:t>
      </w:r>
    </w:p>
    <w:p w14:paraId="650B972A" w14:textId="77777777" w:rsidR="00BB1A4D" w:rsidRPr="009C0F0F" w:rsidRDefault="00BB1A4D" w:rsidP="00BB1A4D">
      <w:pPr>
        <w:pStyle w:val="paragraph"/>
        <w:spacing w:before="0" w:beforeAutospacing="0" w:after="0" w:afterAutospacing="0"/>
        <w:ind w:left="480" w:hanging="480"/>
        <w:jc w:val="both"/>
        <w:textAlignment w:val="baseline"/>
        <w:rPr>
          <w:lang w:val="en-US"/>
        </w:rPr>
      </w:pPr>
      <w:r w:rsidRPr="009C0F0F">
        <w:fldChar w:fldCharType="end"/>
      </w: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Christie, D. M., Duncan, R. A., </w:t>
      </w:r>
      <w:proofErr w:type="spellStart"/>
      <w:r w:rsidRPr="009C0F0F">
        <w:rPr>
          <w:rStyle w:val="normaltextrun"/>
          <w:color w:val="000000"/>
          <w:shd w:val="clear" w:color="auto" w:fill="E1E3E6"/>
          <w:lang w:val="en-US"/>
        </w:rPr>
        <w:t>McBirney</w:t>
      </w:r>
      <w:proofErr w:type="spellEnd"/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A. R., Richards, M. A., White, W. M., </w:t>
      </w:r>
      <w:proofErr w:type="spellStart"/>
      <w:r w:rsidRPr="009C0F0F">
        <w:rPr>
          <w:rStyle w:val="normaltextrun"/>
          <w:color w:val="000000"/>
          <w:shd w:val="clear" w:color="auto" w:fill="E1E3E6"/>
          <w:lang w:val="en-US"/>
        </w:rPr>
        <w:t>Harpp</w:t>
      </w:r>
      <w:proofErr w:type="spellEnd"/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K. S., &amp; Fox, C. G. (1992). Drowned islands downstream from the Galapagos hotspot imply extended speciation times.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Nature</w:t>
      </w: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355</w:t>
      </w:r>
      <w:r w:rsidRPr="009C0F0F">
        <w:rPr>
          <w:rStyle w:val="normaltextrun"/>
          <w:color w:val="000000"/>
          <w:shd w:val="clear" w:color="auto" w:fill="E1E3E6"/>
          <w:lang w:val="en-US"/>
        </w:rPr>
        <w:t>(6357), 246–248. https://doi.org/10.1038/355246a0</w:t>
      </w:r>
      <w:r w:rsidRPr="009C0F0F">
        <w:rPr>
          <w:rStyle w:val="eop"/>
          <w:lang w:val="en-US"/>
        </w:rPr>
        <w:t> </w:t>
      </w:r>
    </w:p>
    <w:p w14:paraId="08B30F03" w14:textId="77777777" w:rsidR="00BB1A4D" w:rsidRPr="009C0F0F" w:rsidRDefault="00BB1A4D" w:rsidP="00BB1A4D">
      <w:pPr>
        <w:pStyle w:val="paragraph"/>
        <w:spacing w:before="0" w:beforeAutospacing="0" w:after="0" w:afterAutospacing="0"/>
        <w:ind w:left="480" w:hanging="480"/>
        <w:jc w:val="both"/>
        <w:textAlignment w:val="baseline"/>
        <w:rPr>
          <w:lang w:val="en-US"/>
        </w:rPr>
      </w:pPr>
      <w:proofErr w:type="spellStart"/>
      <w:r w:rsidRPr="009C0F0F">
        <w:rPr>
          <w:rStyle w:val="normaltextrun"/>
          <w:color w:val="000000"/>
          <w:shd w:val="clear" w:color="auto" w:fill="E1E3E6"/>
          <w:lang w:val="en-US"/>
        </w:rPr>
        <w:t>Harpp</w:t>
      </w:r>
      <w:proofErr w:type="spellEnd"/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K. S., </w:t>
      </w:r>
      <w:proofErr w:type="spellStart"/>
      <w:r w:rsidRPr="009C0F0F">
        <w:rPr>
          <w:rStyle w:val="normaltextrun"/>
          <w:color w:val="000000"/>
          <w:shd w:val="clear" w:color="auto" w:fill="E1E3E6"/>
          <w:lang w:val="en-US"/>
        </w:rPr>
        <w:t>Wanless</w:t>
      </w:r>
      <w:proofErr w:type="spellEnd"/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V. D., Otto, R. H., Hoernle, K., &amp; Werner, R. (2005). The Cocos and Carnegie aseismic ridges: A trace element record of long-term plume-spreading center interaction.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Journal of Petrology</w:t>
      </w: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46</w:t>
      </w:r>
      <w:r w:rsidRPr="009C0F0F">
        <w:rPr>
          <w:rStyle w:val="normaltextrun"/>
          <w:color w:val="000000"/>
          <w:shd w:val="clear" w:color="auto" w:fill="E1E3E6"/>
          <w:lang w:val="en-US"/>
        </w:rPr>
        <w:t>(1), 109–133. https://doi.org/10.1093/petrology/egh064</w:t>
      </w:r>
      <w:r w:rsidRPr="009C0F0F">
        <w:rPr>
          <w:rStyle w:val="eop"/>
          <w:lang w:val="en-US"/>
        </w:rPr>
        <w:t> </w:t>
      </w:r>
    </w:p>
    <w:p w14:paraId="58539704" w14:textId="77777777" w:rsidR="00BB1A4D" w:rsidRPr="009C0F0F" w:rsidRDefault="00BB1A4D" w:rsidP="00BB1A4D">
      <w:pPr>
        <w:pStyle w:val="paragraph"/>
        <w:spacing w:before="0" w:beforeAutospacing="0" w:after="0" w:afterAutospacing="0"/>
        <w:ind w:left="480" w:hanging="480"/>
        <w:jc w:val="both"/>
        <w:textAlignment w:val="baseline"/>
        <w:rPr>
          <w:lang w:val="en-US"/>
        </w:rPr>
      </w:pPr>
      <w:proofErr w:type="spellStart"/>
      <w:r w:rsidRPr="009C0F0F">
        <w:rPr>
          <w:rStyle w:val="normaltextrun"/>
          <w:color w:val="000000"/>
          <w:shd w:val="clear" w:color="auto" w:fill="E1E3E6"/>
          <w:lang w:val="en-US"/>
        </w:rPr>
        <w:t>Harpp</w:t>
      </w:r>
      <w:proofErr w:type="spellEnd"/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K. S., &amp; White, W. M. (2001). Tracing a mantle plume: Isotopic and trace element variations of Galapagos seamounts.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Geochemistry Geophysics Geosystems</w:t>
      </w: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2</w:t>
      </w:r>
      <w:r w:rsidRPr="009C0F0F">
        <w:rPr>
          <w:rStyle w:val="normaltextrun"/>
          <w:color w:val="000000"/>
          <w:shd w:val="clear" w:color="auto" w:fill="E1E3E6"/>
          <w:lang w:val="en-US"/>
        </w:rPr>
        <w:t>(2000), 2000GC000137. https://doi.org/10.1029/2000GC000137</w:t>
      </w:r>
      <w:r w:rsidRPr="009C0F0F">
        <w:rPr>
          <w:rStyle w:val="eop"/>
          <w:lang w:val="en-US"/>
        </w:rPr>
        <w:t> </w:t>
      </w:r>
    </w:p>
    <w:p w14:paraId="19D565BF" w14:textId="77777777" w:rsidR="00BB1A4D" w:rsidRPr="009C0F0F" w:rsidRDefault="00BB1A4D" w:rsidP="00BB1A4D">
      <w:pPr>
        <w:pStyle w:val="paragraph"/>
        <w:spacing w:before="0" w:beforeAutospacing="0" w:after="0" w:afterAutospacing="0"/>
        <w:ind w:left="480" w:hanging="480"/>
        <w:jc w:val="both"/>
        <w:textAlignment w:val="baseline"/>
        <w:rPr>
          <w:lang w:val="en-US"/>
        </w:rPr>
      </w:pP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Harris, P. T., Macmillan-Lawler, M., Rupp, J., &amp; Baker, E. K. (2014). Geomorphology of the oceans.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Marine Geology</w:t>
      </w: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352</w:t>
      </w:r>
      <w:r w:rsidRPr="009C0F0F">
        <w:rPr>
          <w:rStyle w:val="normaltextrun"/>
          <w:color w:val="000000"/>
          <w:shd w:val="clear" w:color="auto" w:fill="E1E3E6"/>
          <w:lang w:val="en-US"/>
        </w:rPr>
        <w:t>(June), 4–24. https://doi.org/10.1016/j.margeo.2014.01.011</w:t>
      </w:r>
      <w:r w:rsidRPr="009C0F0F">
        <w:rPr>
          <w:rStyle w:val="eop"/>
          <w:lang w:val="en-US"/>
        </w:rPr>
        <w:t> </w:t>
      </w:r>
    </w:p>
    <w:p w14:paraId="4E28DC8A" w14:textId="77777777" w:rsidR="00BB1A4D" w:rsidRPr="009C0F0F" w:rsidRDefault="00BB1A4D" w:rsidP="00BB1A4D">
      <w:pPr>
        <w:pStyle w:val="paragraph"/>
        <w:spacing w:before="0" w:beforeAutospacing="0" w:after="0" w:afterAutospacing="0"/>
        <w:ind w:left="480" w:hanging="480"/>
        <w:jc w:val="both"/>
        <w:textAlignment w:val="baseline"/>
        <w:rPr>
          <w:lang w:val="en-US"/>
        </w:rPr>
      </w:pP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O’Connor, J. M., </w:t>
      </w:r>
      <w:proofErr w:type="spellStart"/>
      <w:r w:rsidRPr="009C0F0F">
        <w:rPr>
          <w:rStyle w:val="normaltextrun"/>
          <w:color w:val="000000"/>
          <w:shd w:val="clear" w:color="auto" w:fill="E1E3E6"/>
          <w:lang w:val="en-US"/>
        </w:rPr>
        <w:t>Stoffers</w:t>
      </w:r>
      <w:proofErr w:type="spellEnd"/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P., </w:t>
      </w:r>
      <w:proofErr w:type="spellStart"/>
      <w:r w:rsidRPr="009C0F0F">
        <w:rPr>
          <w:rStyle w:val="normaltextrun"/>
          <w:color w:val="000000"/>
          <w:shd w:val="clear" w:color="auto" w:fill="E1E3E6"/>
          <w:lang w:val="en-US"/>
        </w:rPr>
        <w:t>Wijbrans</w:t>
      </w:r>
      <w:proofErr w:type="spellEnd"/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J. R., &amp; Worthington, T. J. (2007). Migration of widespread long-lived volcanism across the Galápagos Volcanic Province: Evidence for a broad hotspot melting anomaly?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Earth and Planetary Science Letters</w:t>
      </w: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263</w:t>
      </w:r>
      <w:r w:rsidRPr="009C0F0F">
        <w:rPr>
          <w:rStyle w:val="normaltextrun"/>
          <w:color w:val="000000"/>
          <w:shd w:val="clear" w:color="auto" w:fill="E1E3E6"/>
          <w:lang w:val="en-US"/>
        </w:rPr>
        <w:t>(3–4), 339–354. https://doi.org/10.1016/j.epsl.2007.09.007</w:t>
      </w:r>
      <w:r w:rsidRPr="009C0F0F">
        <w:rPr>
          <w:rStyle w:val="eop"/>
          <w:lang w:val="en-US"/>
        </w:rPr>
        <w:t> </w:t>
      </w:r>
    </w:p>
    <w:p w14:paraId="10A16A89" w14:textId="77777777" w:rsidR="00BB1A4D" w:rsidRPr="009C0F0F" w:rsidRDefault="00BB1A4D" w:rsidP="00BB1A4D">
      <w:pPr>
        <w:pStyle w:val="paragraph"/>
        <w:spacing w:before="0" w:beforeAutospacing="0" w:after="0" w:afterAutospacing="0"/>
        <w:ind w:left="480" w:hanging="480"/>
        <w:jc w:val="both"/>
        <w:textAlignment w:val="baseline"/>
        <w:rPr>
          <w:lang w:val="en-US"/>
        </w:rPr>
      </w:pP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Picard, K., Brooke, B. P., Harris, P. T., </w:t>
      </w:r>
      <w:proofErr w:type="spellStart"/>
      <w:r w:rsidRPr="009C0F0F">
        <w:rPr>
          <w:rStyle w:val="normaltextrun"/>
          <w:color w:val="000000"/>
          <w:shd w:val="clear" w:color="auto" w:fill="E1E3E6"/>
          <w:lang w:val="en-US"/>
        </w:rPr>
        <w:t>Siwabessy</w:t>
      </w:r>
      <w:proofErr w:type="spellEnd"/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P. J. W., Coffin, M. F., Tran, M., … Sullivan, J. (2018). Malaysia Airlines flight MH370 search data reveal geomorphology and seafloor processes in the remote southeast Indian Ocean.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Marine Geology</w:t>
      </w: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395</w:t>
      </w:r>
      <w:r w:rsidRPr="009C0F0F">
        <w:rPr>
          <w:rStyle w:val="normaltextrun"/>
          <w:color w:val="000000"/>
          <w:shd w:val="clear" w:color="auto" w:fill="E1E3E6"/>
          <w:lang w:val="en-US"/>
        </w:rPr>
        <w:t>(November 2017), 301–319. https://doi.org/10.1016/j.margeo.2017.10.014</w:t>
      </w:r>
      <w:r w:rsidRPr="009C0F0F">
        <w:rPr>
          <w:rStyle w:val="eop"/>
          <w:lang w:val="en-US"/>
        </w:rPr>
        <w:t> </w:t>
      </w:r>
    </w:p>
    <w:p w14:paraId="1B80B96D" w14:textId="77777777" w:rsidR="00BB1A4D" w:rsidRPr="009C0F0F" w:rsidRDefault="00BB1A4D" w:rsidP="00BB1A4D">
      <w:pPr>
        <w:pStyle w:val="paragraph"/>
        <w:spacing w:before="0" w:beforeAutospacing="0" w:after="0" w:afterAutospacing="0"/>
        <w:ind w:left="480" w:hanging="480"/>
        <w:jc w:val="both"/>
        <w:textAlignment w:val="baseline"/>
        <w:rPr>
          <w:lang w:val="en-US"/>
        </w:rPr>
      </w:pP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Sinton, C. W., Christie, D. M., &amp; Duncan, R. A. (1996). Geochronology of Galápagos seamounts.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Journal of Geophysical Research: Solid Earth</w:t>
      </w: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</w:t>
      </w:r>
      <w:r w:rsidRPr="009C0F0F">
        <w:rPr>
          <w:rStyle w:val="normaltextrun"/>
          <w:i/>
          <w:iCs/>
          <w:color w:val="000000"/>
          <w:shd w:val="clear" w:color="auto" w:fill="E1E3E6"/>
          <w:lang w:val="en-US"/>
        </w:rPr>
        <w:t>101</w:t>
      </w:r>
      <w:r w:rsidRPr="009C0F0F">
        <w:rPr>
          <w:rStyle w:val="normaltextrun"/>
          <w:color w:val="000000"/>
          <w:shd w:val="clear" w:color="auto" w:fill="E1E3E6"/>
          <w:lang w:val="en-US"/>
        </w:rPr>
        <w:t>(B6), 13689–13700. https://doi.org/10.1029/96JB00642</w:t>
      </w:r>
      <w:r w:rsidRPr="009C0F0F">
        <w:rPr>
          <w:rStyle w:val="eop"/>
          <w:lang w:val="en-US"/>
        </w:rPr>
        <w:t> </w:t>
      </w:r>
    </w:p>
    <w:p w14:paraId="34565228" w14:textId="77777777" w:rsidR="00BB1A4D" w:rsidRPr="009C0F0F" w:rsidRDefault="00BB1A4D" w:rsidP="00BB1A4D">
      <w:pPr>
        <w:pStyle w:val="paragraph"/>
        <w:spacing w:before="0" w:beforeAutospacing="0" w:after="0" w:afterAutospacing="0"/>
        <w:ind w:left="480" w:hanging="480"/>
        <w:jc w:val="both"/>
        <w:textAlignment w:val="baseline"/>
        <w:rPr>
          <w:lang w:val="en-US"/>
        </w:rPr>
      </w:pPr>
      <w:proofErr w:type="spellStart"/>
      <w:r w:rsidRPr="009C0F0F">
        <w:rPr>
          <w:rStyle w:val="normaltextrun"/>
          <w:color w:val="000000"/>
          <w:shd w:val="clear" w:color="auto" w:fill="E1E3E6"/>
          <w:lang w:val="en-US"/>
        </w:rPr>
        <w:t>Stagpoole</w:t>
      </w:r>
      <w:proofErr w:type="spellEnd"/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V., &amp; Mackay, K. (2020). Cookbook for Generic Terms of undersea feature names - Draft Version. Retrieved from </w:t>
      </w:r>
      <w:proofErr w:type="gramStart"/>
      <w:r w:rsidRPr="009C0F0F">
        <w:rPr>
          <w:rStyle w:val="normaltextrun"/>
          <w:color w:val="000000"/>
          <w:shd w:val="clear" w:color="auto" w:fill="E1E3E6"/>
          <w:lang w:val="en-US"/>
        </w:rPr>
        <w:t>https://iho.int/en/scufn33-2020</w:t>
      </w:r>
      <w:proofErr w:type="gramEnd"/>
      <w:r w:rsidRPr="009C0F0F">
        <w:rPr>
          <w:rStyle w:val="eop"/>
          <w:lang w:val="en-US"/>
        </w:rPr>
        <w:t> </w:t>
      </w:r>
    </w:p>
    <w:p w14:paraId="6E9A8DEA" w14:textId="77777777" w:rsidR="00BB1A4D" w:rsidRPr="009C0F0F" w:rsidRDefault="00BB1A4D" w:rsidP="00BB1A4D">
      <w:pPr>
        <w:pStyle w:val="paragraph"/>
        <w:spacing w:before="0" w:beforeAutospacing="0" w:after="0" w:afterAutospacing="0"/>
        <w:ind w:left="480" w:hanging="480"/>
        <w:jc w:val="both"/>
        <w:textAlignment w:val="baseline"/>
      </w:pPr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Werner, R., Hoernle, K., </w:t>
      </w:r>
      <w:proofErr w:type="spellStart"/>
      <w:r w:rsidRPr="009C0F0F">
        <w:rPr>
          <w:rStyle w:val="normaltextrun"/>
          <w:color w:val="000000"/>
          <w:shd w:val="clear" w:color="auto" w:fill="E1E3E6"/>
          <w:lang w:val="en-US"/>
        </w:rPr>
        <w:t>Barckhausen</w:t>
      </w:r>
      <w:proofErr w:type="spellEnd"/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U., &amp; </w:t>
      </w:r>
      <w:proofErr w:type="spellStart"/>
      <w:r w:rsidRPr="009C0F0F">
        <w:rPr>
          <w:rStyle w:val="normaltextrun"/>
          <w:color w:val="000000"/>
          <w:shd w:val="clear" w:color="auto" w:fill="E1E3E6"/>
          <w:lang w:val="en-US"/>
        </w:rPr>
        <w:t>Hauff</w:t>
      </w:r>
      <w:proofErr w:type="spellEnd"/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, F. (2003). Geodynamic evolution of the Galápagos hot spot system (Central East Pacific) over the past 20 </w:t>
      </w:r>
      <w:proofErr w:type="spellStart"/>
      <w:r w:rsidRPr="009C0F0F">
        <w:rPr>
          <w:rStyle w:val="normaltextrun"/>
          <w:color w:val="000000"/>
          <w:shd w:val="clear" w:color="auto" w:fill="E1E3E6"/>
          <w:lang w:val="en-US"/>
        </w:rPr>
        <w:t>m.y</w:t>
      </w:r>
      <w:proofErr w:type="spellEnd"/>
      <w:r w:rsidRPr="009C0F0F">
        <w:rPr>
          <w:rStyle w:val="normaltextrun"/>
          <w:color w:val="000000"/>
          <w:shd w:val="clear" w:color="auto" w:fill="E1E3E6"/>
          <w:lang w:val="en-US"/>
        </w:rPr>
        <w:t xml:space="preserve">.: Constraints from morphology, geochemistry, and magnetic anomalies. </w:t>
      </w:r>
      <w:proofErr w:type="spellStart"/>
      <w:r w:rsidRPr="009C0F0F">
        <w:rPr>
          <w:rStyle w:val="normaltextrun"/>
          <w:i/>
          <w:iCs/>
          <w:color w:val="000000"/>
          <w:shd w:val="clear" w:color="auto" w:fill="E1E3E6"/>
        </w:rPr>
        <w:t>Geochemistry</w:t>
      </w:r>
      <w:proofErr w:type="spellEnd"/>
      <w:r w:rsidRPr="009C0F0F">
        <w:rPr>
          <w:rStyle w:val="normaltextrun"/>
          <w:i/>
          <w:iCs/>
          <w:color w:val="000000"/>
          <w:shd w:val="clear" w:color="auto" w:fill="E1E3E6"/>
        </w:rPr>
        <w:t xml:space="preserve">, </w:t>
      </w:r>
      <w:proofErr w:type="spellStart"/>
      <w:r w:rsidRPr="009C0F0F">
        <w:rPr>
          <w:rStyle w:val="normaltextrun"/>
          <w:i/>
          <w:iCs/>
          <w:color w:val="000000"/>
          <w:shd w:val="clear" w:color="auto" w:fill="E1E3E6"/>
        </w:rPr>
        <w:t>Geophysics</w:t>
      </w:r>
      <w:proofErr w:type="spellEnd"/>
      <w:r w:rsidRPr="009C0F0F">
        <w:rPr>
          <w:rStyle w:val="normaltextrun"/>
          <w:i/>
          <w:iCs/>
          <w:color w:val="000000"/>
          <w:shd w:val="clear" w:color="auto" w:fill="E1E3E6"/>
        </w:rPr>
        <w:t xml:space="preserve">, </w:t>
      </w:r>
      <w:proofErr w:type="spellStart"/>
      <w:r w:rsidRPr="009C0F0F">
        <w:rPr>
          <w:rStyle w:val="normaltextrun"/>
          <w:i/>
          <w:iCs/>
          <w:color w:val="000000"/>
          <w:shd w:val="clear" w:color="auto" w:fill="E1E3E6"/>
        </w:rPr>
        <w:t>Geosystems</w:t>
      </w:r>
      <w:proofErr w:type="spellEnd"/>
      <w:r w:rsidRPr="009C0F0F">
        <w:rPr>
          <w:rStyle w:val="normaltextrun"/>
          <w:color w:val="000000"/>
          <w:shd w:val="clear" w:color="auto" w:fill="E1E3E6"/>
        </w:rPr>
        <w:t xml:space="preserve">, </w:t>
      </w:r>
      <w:r w:rsidRPr="009C0F0F">
        <w:rPr>
          <w:rStyle w:val="normaltextrun"/>
          <w:i/>
          <w:iCs/>
          <w:color w:val="000000"/>
          <w:shd w:val="clear" w:color="auto" w:fill="E1E3E6"/>
        </w:rPr>
        <w:t>4</w:t>
      </w:r>
      <w:r w:rsidRPr="009C0F0F">
        <w:rPr>
          <w:rStyle w:val="normaltextrun"/>
          <w:color w:val="000000"/>
          <w:shd w:val="clear" w:color="auto" w:fill="E1E3E6"/>
        </w:rPr>
        <w:t>(12). https://doi.org/10.1029/2003GC000576</w:t>
      </w:r>
      <w:r w:rsidRPr="009C0F0F">
        <w:rPr>
          <w:rStyle w:val="eop"/>
        </w:rPr>
        <w:t> </w:t>
      </w:r>
    </w:p>
    <w:p w14:paraId="79B8E7CC" w14:textId="3A432B7D" w:rsidR="00BB1A4D" w:rsidRPr="009C0F0F" w:rsidRDefault="00BB1A4D" w:rsidP="00BB1A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</w:p>
    <w:p w14:paraId="67E320F2" w14:textId="77777777" w:rsidR="003E53B5" w:rsidRPr="009C0F0F" w:rsidRDefault="003E53B5" w:rsidP="00F52C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F08"/>
          <w:sz w:val="24"/>
          <w:szCs w:val="24"/>
          <w:lang w:val="es-EC"/>
        </w:rPr>
      </w:pPr>
    </w:p>
    <w:p w14:paraId="5E108873" w14:textId="77777777" w:rsidR="00A921CF" w:rsidRPr="009C0F0F" w:rsidRDefault="00A921CF" w:rsidP="00F52C10">
      <w:pPr>
        <w:spacing w:line="276" w:lineRule="auto"/>
        <w:rPr>
          <w:rFonts w:ascii="Times New Roman" w:hAnsi="Times New Roman" w:cs="Times New Roman"/>
          <w:sz w:val="24"/>
          <w:szCs w:val="24"/>
          <w:lang w:val="es-EC"/>
        </w:rPr>
      </w:pPr>
    </w:p>
    <w:sectPr w:rsidR="00A921CF" w:rsidRPr="009C0F0F" w:rsidSect="00F52C10">
      <w:pgSz w:w="12240" w:h="15840" w:code="1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DB5"/>
    <w:multiLevelType w:val="hybridMultilevel"/>
    <w:tmpl w:val="0CBAACE4"/>
    <w:lvl w:ilvl="0" w:tplc="39223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AB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E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62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4C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41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0C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4D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80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5B7DEF"/>
    <w:multiLevelType w:val="hybridMultilevel"/>
    <w:tmpl w:val="128E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5025"/>
    <w:multiLevelType w:val="hybridMultilevel"/>
    <w:tmpl w:val="D0E8CFE2"/>
    <w:lvl w:ilvl="0" w:tplc="A2D2C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40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68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C4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C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60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4D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81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45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906283"/>
    <w:multiLevelType w:val="multilevel"/>
    <w:tmpl w:val="15FA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C2129"/>
    <w:multiLevelType w:val="hybridMultilevel"/>
    <w:tmpl w:val="BB1E16AC"/>
    <w:lvl w:ilvl="0" w:tplc="09CE6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E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AD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8F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69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AB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4B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24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2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664BF4"/>
    <w:multiLevelType w:val="multilevel"/>
    <w:tmpl w:val="10F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85371">
    <w:abstractNumId w:val="3"/>
  </w:num>
  <w:num w:numId="2" w16cid:durableId="580677032">
    <w:abstractNumId w:val="5"/>
  </w:num>
  <w:num w:numId="3" w16cid:durableId="1824543227">
    <w:abstractNumId w:val="2"/>
  </w:num>
  <w:num w:numId="4" w16cid:durableId="743068423">
    <w:abstractNumId w:val="4"/>
  </w:num>
  <w:num w:numId="5" w16cid:durableId="110587857">
    <w:abstractNumId w:val="0"/>
  </w:num>
  <w:num w:numId="6" w16cid:durableId="21050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FE"/>
    <w:rsid w:val="000204EF"/>
    <w:rsid w:val="00083023"/>
    <w:rsid w:val="000B23F4"/>
    <w:rsid w:val="001033A5"/>
    <w:rsid w:val="00192FA5"/>
    <w:rsid w:val="002F54C0"/>
    <w:rsid w:val="003106D7"/>
    <w:rsid w:val="00315BBF"/>
    <w:rsid w:val="00342432"/>
    <w:rsid w:val="00390D10"/>
    <w:rsid w:val="003E480C"/>
    <w:rsid w:val="003E53B5"/>
    <w:rsid w:val="00420E95"/>
    <w:rsid w:val="00432DAE"/>
    <w:rsid w:val="004D366A"/>
    <w:rsid w:val="005407EA"/>
    <w:rsid w:val="00550C6C"/>
    <w:rsid w:val="006326F2"/>
    <w:rsid w:val="00701ED0"/>
    <w:rsid w:val="00762445"/>
    <w:rsid w:val="00793307"/>
    <w:rsid w:val="007B5FA9"/>
    <w:rsid w:val="007F3334"/>
    <w:rsid w:val="0082407D"/>
    <w:rsid w:val="00966EC9"/>
    <w:rsid w:val="009C0F0F"/>
    <w:rsid w:val="00A603F1"/>
    <w:rsid w:val="00A73F7A"/>
    <w:rsid w:val="00A921CF"/>
    <w:rsid w:val="00A97AA5"/>
    <w:rsid w:val="00B66536"/>
    <w:rsid w:val="00BB1A4D"/>
    <w:rsid w:val="00BF0441"/>
    <w:rsid w:val="00BF52FE"/>
    <w:rsid w:val="00CF72BE"/>
    <w:rsid w:val="00D363E4"/>
    <w:rsid w:val="00F52C10"/>
    <w:rsid w:val="00FA1592"/>
    <w:rsid w:val="00F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69F1"/>
  <w15:chartTrackingRefBased/>
  <w15:docId w15:val="{AB1F71D0-40E4-42C6-81F9-9A54B349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21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E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432"/>
    <w:pPr>
      <w:ind w:left="720"/>
      <w:contextualSpacing/>
    </w:pPr>
  </w:style>
  <w:style w:type="paragraph" w:customStyle="1" w:styleId="paragraph">
    <w:name w:val="paragraph"/>
    <w:basedOn w:val="Normal"/>
    <w:rsid w:val="00BB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normaltextrun">
    <w:name w:val="normaltextrun"/>
    <w:basedOn w:val="DefaultParagraphFont"/>
    <w:rsid w:val="00BB1A4D"/>
  </w:style>
  <w:style w:type="character" w:customStyle="1" w:styleId="eop">
    <w:name w:val="eop"/>
    <w:basedOn w:val="DefaultParagraphFont"/>
    <w:rsid w:val="00BB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56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87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98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349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5569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637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Rivas Fajardo</dc:creator>
  <cp:keywords/>
  <dc:description/>
  <cp:lastModifiedBy>Carolina Rivas Fajardo</cp:lastModifiedBy>
  <cp:revision>3</cp:revision>
  <dcterms:created xsi:type="dcterms:W3CDTF">2023-03-14T18:37:00Z</dcterms:created>
  <dcterms:modified xsi:type="dcterms:W3CDTF">2023-03-17T21:29:00Z</dcterms:modified>
</cp:coreProperties>
</file>