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440C" w14:textId="77777777" w:rsidR="00DC6D88" w:rsidRPr="00A27646" w:rsidRDefault="00DC6D88" w:rsidP="000B4A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val="es-ES"/>
          <w14:ligatures w14:val="none"/>
        </w:rPr>
      </w:pPr>
      <w:r w:rsidRPr="00A27646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val="es-ES"/>
          <w14:ligatures w14:val="none"/>
        </w:rPr>
        <w:t>III Congreso Nacional de Geografía</w:t>
      </w:r>
    </w:p>
    <w:p w14:paraId="54A73FAC" w14:textId="77777777" w:rsidR="00DC6D88" w:rsidRPr="00A27646" w:rsidRDefault="00DC6D88" w:rsidP="000B4AFF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val="es-ES"/>
          <w14:ligatures w14:val="none"/>
        </w:rPr>
      </w:pPr>
      <w:r w:rsidRPr="00A27646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val="es-ES"/>
          <w14:ligatures w14:val="none"/>
        </w:rPr>
        <w:t>Expandiendo horizontes disciplinares desde el pensamiento espacial</w:t>
      </w:r>
    </w:p>
    <w:p w14:paraId="4CB1B521" w14:textId="77777777" w:rsidR="00A27646" w:rsidRPr="00A27646" w:rsidRDefault="00975A85" w:rsidP="00A27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val="es-ES"/>
          <w14:ligatures w14:val="none"/>
        </w:rPr>
      </w:pPr>
      <w:r w:rsidRPr="00A27646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val="es-ES"/>
          <w14:ligatures w14:val="none"/>
        </w:rPr>
        <w:t>L</w:t>
      </w:r>
      <w:r w:rsidR="003A3288" w:rsidRPr="00A27646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val="es-ES"/>
          <w14:ligatures w14:val="none"/>
        </w:rPr>
        <w:t xml:space="preserve">a política energética con enfoque territorial. </w:t>
      </w:r>
    </w:p>
    <w:p w14:paraId="6F4BEF9C" w14:textId="201B26F1" w:rsidR="00B62F45" w:rsidRPr="00A27646" w:rsidRDefault="003A3288" w:rsidP="00A2764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val="es-ES"/>
          <w14:ligatures w14:val="none"/>
        </w:rPr>
      </w:pPr>
      <w:r w:rsidRPr="00A27646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val="es-ES"/>
          <w14:ligatures w14:val="none"/>
        </w:rPr>
        <w:t>A</w:t>
      </w:r>
      <w:r w:rsidR="00975A85" w:rsidRPr="00A27646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val="es-ES"/>
          <w14:ligatures w14:val="none"/>
        </w:rPr>
        <w:t xml:space="preserve">nálisis </w:t>
      </w:r>
      <w:r w:rsidRPr="00A27646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val="es-ES"/>
          <w14:ligatures w14:val="none"/>
        </w:rPr>
        <w:t xml:space="preserve">a partir del </w:t>
      </w:r>
      <w:r w:rsidR="00975A85" w:rsidRPr="00A27646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val="es-ES"/>
          <w14:ligatures w14:val="none"/>
        </w:rPr>
        <w:t>Proyecto Hidroeléctrico Mazar-Dudas.</w:t>
      </w:r>
    </w:p>
    <w:p w14:paraId="6D652285" w14:textId="44D49A04" w:rsidR="00AA0B1D" w:rsidRPr="00A27646" w:rsidRDefault="00000000" w:rsidP="00AA0B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91F08"/>
          <w:kern w:val="0"/>
          <w:sz w:val="23"/>
          <w:szCs w:val="23"/>
          <w:lang w:val="es-ES"/>
          <w14:ligatures w14:val="none"/>
        </w:rPr>
      </w:pPr>
      <w:r w:rsidRPr="00A27646">
        <w:rPr>
          <w:noProof/>
          <w:sz w:val="23"/>
          <w:szCs w:val="23"/>
        </w:rPr>
        <w:pict w14:anchorId="76951F1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.2pt;margin-top:7.2pt;width:218.1pt;height:61.6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14:paraId="6CE0A98B" w14:textId="1CBCBC12" w:rsidR="00AA0B1D" w:rsidRPr="00A27646" w:rsidRDefault="00AA0B1D" w:rsidP="008626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91F08"/>
                      <w:kern w:val="0"/>
                      <w:sz w:val="23"/>
                      <w:szCs w:val="23"/>
                      <w:lang w:val="it-IT"/>
                      <w14:ligatures w14:val="none"/>
                    </w:rPr>
                  </w:pPr>
                  <w:r w:rsidRPr="00A27646">
                    <w:rPr>
                      <w:rFonts w:ascii="Times New Roman" w:eastAsia="Times New Roman" w:hAnsi="Times New Roman" w:cs="Times New Roman"/>
                      <w:b/>
                      <w:bCs/>
                      <w:color w:val="291F08"/>
                      <w:kern w:val="0"/>
                      <w:sz w:val="23"/>
                      <w:szCs w:val="23"/>
                      <w:lang w:val="it-IT"/>
                      <w14:ligatures w14:val="none"/>
                    </w:rPr>
                    <w:t>Diana Rosa Mendieta Vicuña</w:t>
                  </w:r>
                </w:p>
                <w:p w14:paraId="71452ADB" w14:textId="36725719" w:rsidR="00AA0B1D" w:rsidRPr="00A27646" w:rsidRDefault="00000000" w:rsidP="008626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2F5496" w:themeColor="accent1" w:themeShade="BF"/>
                      <w:sz w:val="23"/>
                      <w:szCs w:val="23"/>
                      <w:lang w:val="it-IT"/>
                    </w:rPr>
                  </w:pPr>
                  <w:hyperlink r:id="rId8" w:history="1">
                    <w:r w:rsidR="00862693" w:rsidRPr="00A27646">
                      <w:rPr>
                        <w:rStyle w:val="Hyperlink"/>
                        <w:rFonts w:ascii="Times New Roman" w:eastAsia="Times New Roman" w:hAnsi="Times New Roman" w:cs="Times New Roman"/>
                        <w:color w:val="2F5496" w:themeColor="accent1" w:themeShade="BF"/>
                        <w:kern w:val="0"/>
                        <w:sz w:val="23"/>
                        <w:szCs w:val="23"/>
                        <w:lang w:val="it-IT"/>
                        <w14:ligatures w14:val="none"/>
                      </w:rPr>
                      <w:t>diamenvi@alumni.uv.es</w:t>
                    </w:r>
                  </w:hyperlink>
                </w:p>
              </w:txbxContent>
            </v:textbox>
            <w10:wrap type="square"/>
          </v:shape>
        </w:pict>
      </w:r>
      <w:r w:rsidRPr="00A27646">
        <w:rPr>
          <w:rFonts w:ascii="Times New Roman" w:eastAsia="Times New Roman" w:hAnsi="Times New Roman" w:cs="Times New Roman"/>
          <w:noProof/>
          <w:color w:val="291F08"/>
          <w:kern w:val="0"/>
          <w:sz w:val="23"/>
          <w:szCs w:val="23"/>
          <w:lang w:val="es-ES"/>
        </w:rPr>
        <w:pict w14:anchorId="76951F15">
          <v:shape id="_x0000_s1027" type="#_x0000_t202" style="position:absolute;left:0;text-align:left;margin-left:278.65pt;margin-top:6.15pt;width:185.5pt;height:53.75pt;z-index:251660288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color="white [3212]">
            <v:textbox style="mso-fit-shape-to-text:t">
              <w:txbxContent>
                <w:p w14:paraId="1E03DAD1" w14:textId="4775AE0F" w:rsidR="00AA0B1D" w:rsidRPr="00A27646" w:rsidRDefault="00AA0B1D" w:rsidP="008626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91F08"/>
                      <w:kern w:val="0"/>
                      <w:sz w:val="23"/>
                      <w:szCs w:val="23"/>
                      <w:lang w:val="es-ES"/>
                      <w14:ligatures w14:val="none"/>
                    </w:rPr>
                  </w:pPr>
                  <w:r w:rsidRPr="00A27646">
                    <w:rPr>
                      <w:rFonts w:ascii="Times New Roman" w:eastAsia="Times New Roman" w:hAnsi="Times New Roman" w:cs="Times New Roman"/>
                      <w:b/>
                      <w:bCs/>
                      <w:color w:val="291F08"/>
                      <w:kern w:val="0"/>
                      <w:sz w:val="23"/>
                      <w:szCs w:val="23"/>
                      <w:lang w:val="es-ES"/>
                      <w14:ligatures w14:val="none"/>
                    </w:rPr>
                    <w:t>Javier Esparcia Pérez</w:t>
                  </w:r>
                </w:p>
                <w:p w14:paraId="11FAB586" w14:textId="6888D698" w:rsidR="00AA0B1D" w:rsidRPr="00A27646" w:rsidRDefault="00000000" w:rsidP="008626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2F5496" w:themeColor="accent1" w:themeShade="BF"/>
                      <w:sz w:val="23"/>
                      <w:szCs w:val="23"/>
                      <w:lang w:val="es-ES"/>
                    </w:rPr>
                  </w:pPr>
                  <w:hyperlink r:id="rId9" w:history="1">
                    <w:r w:rsidR="00AA0B1D" w:rsidRPr="00A27646">
                      <w:rPr>
                        <w:rStyle w:val="Hyperlink"/>
                        <w:rFonts w:ascii="Times New Roman" w:eastAsia="Times New Roman" w:hAnsi="Times New Roman" w:cs="Times New Roman"/>
                        <w:color w:val="2F5496" w:themeColor="accent1" w:themeShade="BF"/>
                        <w:kern w:val="0"/>
                        <w:sz w:val="23"/>
                        <w:szCs w:val="23"/>
                        <w:lang w:val="es-ES"/>
                        <w14:ligatures w14:val="none"/>
                      </w:rPr>
                      <w:t>javier.esparcia@uv.es</w:t>
                    </w:r>
                  </w:hyperlink>
                </w:p>
              </w:txbxContent>
            </v:textbox>
            <w10:wrap type="square"/>
          </v:shape>
        </w:pict>
      </w:r>
    </w:p>
    <w:p w14:paraId="45B92A64" w14:textId="77777777" w:rsidR="00AA0B1D" w:rsidRPr="00A27646" w:rsidRDefault="00AA0B1D" w:rsidP="00AA0B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91F08"/>
          <w:kern w:val="0"/>
          <w:sz w:val="23"/>
          <w:szCs w:val="23"/>
          <w:lang w:val="es-ES"/>
          <w14:ligatures w14:val="none"/>
        </w:rPr>
      </w:pPr>
    </w:p>
    <w:p w14:paraId="6C4501C9" w14:textId="4762C50F" w:rsidR="00AA0B1D" w:rsidRPr="00AA0B1D" w:rsidRDefault="00AA0B1D" w:rsidP="00AA0B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91F08"/>
          <w:kern w:val="0"/>
          <w:sz w:val="24"/>
          <w:szCs w:val="24"/>
          <w:lang w:val="es-ES"/>
          <w14:ligatures w14:val="none"/>
        </w:rPr>
      </w:pPr>
      <w:r w:rsidRPr="00A27646">
        <w:rPr>
          <w:rFonts w:ascii="Times New Roman" w:eastAsia="Times New Roman" w:hAnsi="Times New Roman" w:cs="Times New Roman"/>
          <w:color w:val="291F08"/>
          <w:kern w:val="0"/>
          <w:sz w:val="23"/>
          <w:szCs w:val="23"/>
          <w:lang w:val="es-ES"/>
          <w14:ligatures w14:val="none"/>
        </w:rPr>
        <w:tab/>
      </w:r>
      <w:r>
        <w:rPr>
          <w:rFonts w:ascii="Times New Roman" w:eastAsia="Times New Roman" w:hAnsi="Times New Roman" w:cs="Times New Roman"/>
          <w:color w:val="291F08"/>
          <w:kern w:val="0"/>
          <w:sz w:val="24"/>
          <w:szCs w:val="24"/>
          <w:lang w:val="es-ES"/>
          <w14:ligatures w14:val="none"/>
        </w:rPr>
        <w:tab/>
      </w:r>
      <w:r>
        <w:rPr>
          <w:rFonts w:ascii="Times New Roman" w:eastAsia="Times New Roman" w:hAnsi="Times New Roman" w:cs="Times New Roman"/>
          <w:color w:val="291F08"/>
          <w:kern w:val="0"/>
          <w:sz w:val="24"/>
          <w:szCs w:val="24"/>
          <w:lang w:val="es-ES"/>
          <w14:ligatures w14:val="none"/>
        </w:rPr>
        <w:tab/>
      </w:r>
      <w:r w:rsidRPr="00AA0B1D">
        <w:rPr>
          <w:rFonts w:ascii="Times New Roman" w:eastAsia="Times New Roman" w:hAnsi="Times New Roman" w:cs="Times New Roman"/>
          <w:color w:val="291F08"/>
          <w:kern w:val="0"/>
          <w:sz w:val="24"/>
          <w:szCs w:val="24"/>
          <w:lang w:val="es-ES"/>
          <w14:ligatures w14:val="none"/>
        </w:rPr>
        <w:tab/>
      </w:r>
      <w:r>
        <w:rPr>
          <w:rFonts w:ascii="Times New Roman" w:eastAsia="Times New Roman" w:hAnsi="Times New Roman" w:cs="Times New Roman"/>
          <w:color w:val="291F08"/>
          <w:kern w:val="0"/>
          <w:sz w:val="24"/>
          <w:szCs w:val="24"/>
          <w:lang w:val="es-ES"/>
          <w14:ligatures w14:val="none"/>
        </w:rPr>
        <w:t xml:space="preserve">     </w:t>
      </w:r>
    </w:p>
    <w:p w14:paraId="5FC91BB3" w14:textId="315A41F2" w:rsidR="00DC6D88" w:rsidRPr="003A3288" w:rsidRDefault="00DC6D88" w:rsidP="00B62F45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91F08"/>
          <w:kern w:val="0"/>
          <w:sz w:val="24"/>
          <w:szCs w:val="24"/>
          <w:lang w:val="es-ES"/>
          <w14:ligatures w14:val="none"/>
        </w:rPr>
      </w:pPr>
      <w:r w:rsidRPr="00FE3247">
        <w:rPr>
          <w:rFonts w:ascii="Times New Roman" w:eastAsia="Times New Roman" w:hAnsi="Times New Roman" w:cs="Times New Roman"/>
          <w:b/>
          <w:bCs/>
          <w:color w:val="291F08"/>
          <w:kern w:val="0"/>
          <w:sz w:val="24"/>
          <w:szCs w:val="24"/>
          <w:lang w:val="es-ES"/>
          <w14:ligatures w14:val="none"/>
        </w:rPr>
        <w:t>Eje temático</w:t>
      </w:r>
      <w:r w:rsidR="00B62F45" w:rsidRPr="00FE3247">
        <w:rPr>
          <w:rFonts w:ascii="Times New Roman" w:eastAsia="Times New Roman" w:hAnsi="Times New Roman" w:cs="Times New Roman"/>
          <w:b/>
          <w:bCs/>
          <w:color w:val="291F08"/>
          <w:kern w:val="0"/>
          <w:sz w:val="24"/>
          <w:szCs w:val="24"/>
          <w:lang w:val="es-ES"/>
          <w14:ligatures w14:val="none"/>
        </w:rPr>
        <w:t>:</w:t>
      </w:r>
      <w:r w:rsidR="00B62F45" w:rsidRPr="003A3288">
        <w:rPr>
          <w:rFonts w:ascii="Times New Roman" w:eastAsia="Times New Roman" w:hAnsi="Times New Roman" w:cs="Times New Roman"/>
          <w:color w:val="291F08"/>
          <w:kern w:val="0"/>
          <w:sz w:val="24"/>
          <w:szCs w:val="24"/>
          <w:lang w:val="es-ES"/>
          <w14:ligatures w14:val="none"/>
        </w:rPr>
        <w:t xml:space="preserve"> Territorio y políticas públicas: planificación, gestión y ordenamiento territorial</w:t>
      </w:r>
    </w:p>
    <w:p w14:paraId="2C15362B" w14:textId="6F089E94" w:rsidR="00BF20CB" w:rsidRPr="00AA0B1D" w:rsidRDefault="00DC6D88" w:rsidP="00FE324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91F08"/>
          <w:kern w:val="0"/>
          <w:sz w:val="24"/>
          <w:szCs w:val="24"/>
          <w:lang w:val="es-ES"/>
          <w14:ligatures w14:val="none"/>
        </w:rPr>
      </w:pPr>
      <w:r w:rsidRPr="00FE3247">
        <w:rPr>
          <w:rFonts w:ascii="Times New Roman" w:eastAsia="Times New Roman" w:hAnsi="Times New Roman" w:cs="Times New Roman"/>
          <w:b/>
          <w:bCs/>
          <w:color w:val="291F08"/>
          <w:kern w:val="0"/>
          <w:sz w:val="24"/>
          <w:szCs w:val="24"/>
          <w:lang w:val="es-ES"/>
          <w14:ligatures w14:val="none"/>
        </w:rPr>
        <w:t>Resumen</w:t>
      </w:r>
      <w:r w:rsidR="00FE3247" w:rsidRPr="00FE3247">
        <w:rPr>
          <w:rFonts w:ascii="Times New Roman" w:eastAsia="Times New Roman" w:hAnsi="Times New Roman" w:cs="Times New Roman"/>
          <w:b/>
          <w:bCs/>
          <w:color w:val="291F08"/>
          <w:kern w:val="0"/>
          <w:sz w:val="24"/>
          <w:szCs w:val="24"/>
          <w:lang w:val="es-ES"/>
          <w14:ligatures w14:val="none"/>
        </w:rPr>
        <w:t xml:space="preserve"> </w:t>
      </w:r>
    </w:p>
    <w:p w14:paraId="6BF04CE0" w14:textId="77777777" w:rsidR="008A740A" w:rsidRDefault="00FA359A" w:rsidP="00DB493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Hlk51771076"/>
      <w:bookmarkStart w:id="1" w:name="_Hlk48752417"/>
      <w:bookmarkStart w:id="2" w:name="_Hlk48316392"/>
      <w:r w:rsidRPr="00FA359A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En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el marco de l</w:t>
      </w:r>
      <w:r w:rsidR="003A3288" w:rsidRPr="003A3288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a transición energética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global, </w:t>
      </w:r>
      <w:r w:rsidR="00682ED4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en los últimos años,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muchos países han venido </w:t>
      </w:r>
      <w:r w:rsidR="003A3288" w:rsidRPr="003A3288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diseñ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ando</w:t>
      </w:r>
      <w:r w:rsidR="003A3288" w:rsidRPr="003A3288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e implementan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do </w:t>
      </w:r>
      <w:r w:rsidR="003A3288" w:rsidRPr="003A3288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políticas </w:t>
      </w:r>
      <w:r w:rsidR="008A740A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diversas </w:t>
      </w:r>
      <w:r w:rsidR="00CE452E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para incrementar la participación de las </w:t>
      </w:r>
      <w:r w:rsidR="003A3288" w:rsidRPr="003A3288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energías renovables</w:t>
      </w:r>
      <w:r w:rsidR="00CE452E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en sus matrices energéticas</w:t>
      </w:r>
      <w:r w:rsidR="003A3288" w:rsidRPr="003A3288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. </w:t>
      </w:r>
      <w:r w:rsidR="00CE452E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Algunas organizaciones </w:t>
      </w:r>
      <w:r w:rsidR="003A3288" w:rsidRPr="003A3288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internacionales y gobiernos nacionales</w:t>
      </w:r>
      <w:r w:rsidR="00CD27A3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defienden el carácter sostenible de las energías renovables. Sin embargo,</w:t>
      </w:r>
      <w:r w:rsidR="003A3288" w:rsidRPr="003A3288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much</w:t>
      </w:r>
      <w:r w:rsidR="003A3288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o</w:t>
      </w:r>
      <w:r w:rsidR="003A3288" w:rsidRPr="003A3288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s </w:t>
      </w:r>
      <w:r w:rsidR="003A3288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estudios </w:t>
      </w:r>
      <w:r w:rsidR="003A3288" w:rsidRPr="003A3288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demuestran que</w:t>
      </w:r>
      <w:r w:rsidR="00CD27A3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</w:t>
      </w:r>
      <w:r w:rsidR="00CE452E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su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impacto </w:t>
      </w:r>
      <w:r w:rsidR="003A3288" w:rsidRPr="003A3288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en el desarrollo sostenible </w:t>
      </w:r>
      <w:r w:rsidR="00CD27A3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de las comunidades locales </w:t>
      </w:r>
      <w:r w:rsidR="003A3288" w:rsidRPr="003A3288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es mucho menor de lo que se afirma en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los discursos oficiales</w:t>
      </w:r>
      <w:r w:rsidR="00CD27A3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</w:t>
      </w:r>
      <w:r w:rsidR="007233A7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y </w:t>
      </w:r>
      <w:r w:rsidR="008A740A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que </w:t>
      </w:r>
      <w:r w:rsidR="00421670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los</w:t>
      </w:r>
      <w:r w:rsidR="007233A7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efectos adversos de ciertas tecnologías renovables</w:t>
      </w:r>
      <w:r w:rsidR="008A740A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,</w:t>
      </w:r>
      <w:r w:rsidR="007233A7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a nivel ambiental y social</w:t>
      </w:r>
      <w:r w:rsidR="008A740A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,</w:t>
      </w:r>
      <w:r w:rsidR="007233A7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son mayores de los proyectados. </w:t>
      </w:r>
      <w:bookmarkEnd w:id="0"/>
      <w:bookmarkEnd w:id="1"/>
      <w:r w:rsidR="00A96896"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Por ello, </w:t>
      </w:r>
      <w:r w:rsidR="008A740A">
        <w:rPr>
          <w:rFonts w:ascii="Times New Roman" w:hAnsi="Times New Roman" w:cs="Times New Roman"/>
          <w:sz w:val="24"/>
          <w:szCs w:val="24"/>
          <w:lang w:val="es-ES"/>
        </w:rPr>
        <w:t xml:space="preserve">a modo de compensación por dichos efectos, también se han venido poniendo </w:t>
      </w:r>
      <w:r w:rsidR="00A96896"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en marcha </w:t>
      </w:r>
      <w:r w:rsidR="00ED7605">
        <w:rPr>
          <w:rFonts w:ascii="Times New Roman" w:hAnsi="Times New Roman" w:cs="Times New Roman"/>
          <w:sz w:val="24"/>
          <w:szCs w:val="24"/>
          <w:lang w:val="es-ES"/>
        </w:rPr>
        <w:t xml:space="preserve">diversos </w:t>
      </w:r>
      <w:r w:rsidR="00A96896"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esquemas </w:t>
      </w:r>
      <w:r w:rsidR="00682ED4">
        <w:rPr>
          <w:rFonts w:ascii="Times New Roman" w:hAnsi="Times New Roman" w:cs="Times New Roman"/>
          <w:sz w:val="24"/>
          <w:szCs w:val="24"/>
          <w:lang w:val="es-ES"/>
        </w:rPr>
        <w:t xml:space="preserve">para </w:t>
      </w:r>
      <w:r w:rsidR="00A96896" w:rsidRPr="003A3288">
        <w:rPr>
          <w:rFonts w:ascii="Times New Roman" w:hAnsi="Times New Roman" w:cs="Times New Roman"/>
          <w:sz w:val="24"/>
          <w:szCs w:val="24"/>
          <w:lang w:val="es-ES"/>
        </w:rPr>
        <w:t>generar beneficios</w:t>
      </w:r>
      <w:r w:rsidR="00606D2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D27A3">
        <w:rPr>
          <w:rFonts w:ascii="Times New Roman" w:hAnsi="Times New Roman" w:cs="Times New Roman"/>
          <w:sz w:val="24"/>
          <w:szCs w:val="24"/>
          <w:lang w:val="es-ES"/>
        </w:rPr>
        <w:t xml:space="preserve">para </w:t>
      </w:r>
      <w:r w:rsidR="00A96896" w:rsidRPr="003A3288">
        <w:rPr>
          <w:rFonts w:ascii="Times New Roman" w:hAnsi="Times New Roman" w:cs="Times New Roman"/>
          <w:sz w:val="24"/>
          <w:szCs w:val="24"/>
          <w:lang w:val="es-ES"/>
        </w:rPr>
        <w:t>las comunidades locales</w:t>
      </w:r>
      <w:r w:rsidR="008A740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7202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00DA865" w14:textId="2FFCD94D" w:rsidR="003569F2" w:rsidRDefault="008A740A" w:rsidP="00DB493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En el Ecuador, en el contexto de la política energética, </w:t>
      </w:r>
      <w:r w:rsidR="00A96896"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cada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proyecto o central </w:t>
      </w:r>
      <w:r w:rsidR="00A96896"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CD27A3">
        <w:rPr>
          <w:rFonts w:ascii="Times New Roman" w:hAnsi="Times New Roman" w:cs="Times New Roman"/>
          <w:sz w:val="24"/>
          <w:szCs w:val="24"/>
          <w:lang w:val="es-ES"/>
        </w:rPr>
        <w:t xml:space="preserve">producción de electricidad </w:t>
      </w:r>
      <w:r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CD27A3">
        <w:rPr>
          <w:rFonts w:ascii="Times New Roman" w:hAnsi="Times New Roman" w:cs="Times New Roman"/>
          <w:sz w:val="24"/>
          <w:szCs w:val="24"/>
          <w:lang w:val="es-ES"/>
        </w:rPr>
        <w:t xml:space="preserve">a partir de </w:t>
      </w:r>
      <w:r w:rsidR="00A96896" w:rsidRPr="003A3288">
        <w:rPr>
          <w:rFonts w:ascii="Times New Roman" w:hAnsi="Times New Roman" w:cs="Times New Roman"/>
          <w:sz w:val="24"/>
          <w:szCs w:val="24"/>
          <w:lang w:val="es-ES"/>
        </w:rPr>
        <w:t>energía renovable</w:t>
      </w:r>
      <w:r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A96896"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 ha de ir acompañada de Planes de Desarrollo Territorial (PDT)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las correspondientes </w:t>
      </w:r>
      <w:r w:rsidRPr="003A3288">
        <w:rPr>
          <w:rFonts w:ascii="Times New Roman" w:hAnsi="Times New Roman" w:cs="Times New Roman"/>
          <w:sz w:val="24"/>
          <w:szCs w:val="24"/>
          <w:lang w:val="es-ES"/>
        </w:rPr>
        <w:t>áreas de influencia</w:t>
      </w:r>
      <w:r>
        <w:rPr>
          <w:rFonts w:ascii="Times New Roman" w:hAnsi="Times New Roman" w:cs="Times New Roman"/>
          <w:sz w:val="24"/>
          <w:szCs w:val="24"/>
          <w:lang w:val="es-ES"/>
        </w:rPr>
        <w:t>. Estos PDTs</w:t>
      </w:r>
      <w:r w:rsidR="00113A5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están </w:t>
      </w:r>
      <w:r w:rsidR="00113A5C">
        <w:rPr>
          <w:rFonts w:ascii="Times New Roman" w:hAnsi="Times New Roman" w:cs="Times New Roman"/>
          <w:sz w:val="24"/>
          <w:szCs w:val="24"/>
          <w:lang w:val="es-ES"/>
        </w:rPr>
        <w:t xml:space="preserve">orientados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principalmente </w:t>
      </w:r>
      <w:r w:rsidR="00113A5C" w:rsidRPr="003A3288">
        <w:rPr>
          <w:rFonts w:ascii="Times New Roman" w:hAnsi="Times New Roman" w:cs="Times New Roman"/>
          <w:sz w:val="24"/>
          <w:szCs w:val="24"/>
          <w:lang w:val="es-ES"/>
        </w:rPr>
        <w:t>a la mejora de infraestructuras viarias, equipamientos comunitarios y educativos, electrificación rural, servicios básicos y saneamiento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96896"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06D25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DB4935">
        <w:rPr>
          <w:rFonts w:ascii="Times New Roman" w:hAnsi="Times New Roman" w:cs="Times New Roman"/>
          <w:sz w:val="24"/>
          <w:szCs w:val="24"/>
          <w:lang w:val="es-ES"/>
        </w:rPr>
        <w:t xml:space="preserve">egún la normativa vigente, </w:t>
      </w:r>
      <w:r w:rsidR="00DB4935" w:rsidRPr="003A3288">
        <w:rPr>
          <w:rFonts w:ascii="Times New Roman" w:hAnsi="Times New Roman" w:cs="Times New Roman"/>
          <w:sz w:val="24"/>
          <w:szCs w:val="24"/>
          <w:lang w:val="es-ES"/>
        </w:rPr>
        <w:t>su financiación deriva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 30% </w:t>
      </w:r>
      <w:r w:rsidR="00DB4935" w:rsidRPr="003A3288">
        <w:rPr>
          <w:rFonts w:ascii="Times New Roman" w:hAnsi="Times New Roman" w:cs="Times New Roman"/>
          <w:sz w:val="24"/>
          <w:szCs w:val="24"/>
          <w:lang w:val="es-ES"/>
        </w:rPr>
        <w:t>de los beneficios obtenidos por la producción y venta de la energía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B4935" w:rsidRPr="003A3288">
        <w:rPr>
          <w:rFonts w:ascii="Times New Roman" w:hAnsi="Times New Roman" w:cs="Times New Roman"/>
          <w:sz w:val="24"/>
          <w:szCs w:val="24"/>
          <w:lang w:val="es-ES"/>
        </w:rPr>
        <w:t>en el caso de las empresas públicas</w:t>
      </w:r>
      <w:r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DB4935"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B4935"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 del 12% en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el caso de </w:t>
      </w:r>
      <w:r w:rsidR="00DB4935" w:rsidRPr="003A3288">
        <w:rPr>
          <w:rFonts w:ascii="Times New Roman" w:hAnsi="Times New Roman" w:cs="Times New Roman"/>
          <w:sz w:val="24"/>
          <w:szCs w:val="24"/>
          <w:lang w:val="es-ES"/>
        </w:rPr>
        <w:t>las empresas privadas o mixtas</w:t>
      </w:r>
      <w:r w:rsidR="00DB493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399B9F63" w14:textId="34AD04E9" w:rsidR="00ED3AE5" w:rsidRPr="00606D25" w:rsidRDefault="007233A7" w:rsidP="007266A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A3288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Este </w:t>
      </w:r>
      <w:r w:rsidR="008A740A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trabajo</w:t>
      </w:r>
      <w:r w:rsidRPr="003A3288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analiza el caso del proyecto hidroeléctrico Mazar-Dudas (</w:t>
      </w:r>
      <w:r w:rsidR="007266A7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PHMD</w:t>
      </w:r>
      <w:r w:rsidRPr="003A3288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)</w:t>
      </w:r>
      <w:r w:rsidR="00606D25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de 2</w:t>
      </w:r>
      <w:r w:rsidRPr="003A3288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1 MW</w:t>
      </w:r>
      <w:r w:rsidR="00606D25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de potencia</w:t>
      </w:r>
      <w:r w:rsidR="00FB1D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, gestionado por </w:t>
      </w:r>
      <w:r w:rsidR="00FB1D9E"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CELEC EP </w:t>
      </w:r>
      <w:r w:rsidR="00FB1D9E">
        <w:rPr>
          <w:rFonts w:ascii="Times New Roman" w:hAnsi="Times New Roman" w:cs="Times New Roman"/>
          <w:sz w:val="24"/>
          <w:szCs w:val="24"/>
          <w:lang w:val="es-ES"/>
        </w:rPr>
        <w:t>Hidroazogues (CELEC).</w:t>
      </w:r>
      <w:r w:rsidR="003569F2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</w:t>
      </w:r>
      <w:r w:rsidR="00FB1D9E">
        <w:rPr>
          <w:rFonts w:ascii="Times New Roman" w:eastAsia="Garamond" w:hAnsi="Times New Roman" w:cs="Times New Roman"/>
          <w:bCs/>
          <w:sz w:val="24"/>
          <w:szCs w:val="24"/>
          <w:lang w:val="es-ES"/>
        </w:rPr>
        <w:t xml:space="preserve">El </w:t>
      </w:r>
      <w:r w:rsidR="00DB4935" w:rsidRPr="003A328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/>
        </w:rPr>
        <w:t xml:space="preserve">área de influencia directa </w:t>
      </w:r>
      <w:r w:rsidR="00FB1D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/>
        </w:rPr>
        <w:t xml:space="preserve">del PHMD </w:t>
      </w:r>
      <w:r w:rsidR="00DB4935" w:rsidRPr="003A328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/>
        </w:rPr>
        <w:t xml:space="preserve">está compuesta por </w:t>
      </w:r>
      <w:r w:rsidR="00ED76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/>
        </w:rPr>
        <w:t>cuatro</w:t>
      </w:r>
      <w:r w:rsidR="00DB4935" w:rsidRPr="003A328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/>
        </w:rPr>
        <w:t xml:space="preserve"> parroquias rurales del </w:t>
      </w:r>
      <w:r w:rsidR="00ED76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/>
        </w:rPr>
        <w:t xml:space="preserve">cantón </w:t>
      </w:r>
      <w:r w:rsidR="00DB4935" w:rsidRPr="003A328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/>
        </w:rPr>
        <w:t>Azogues, provincia de Cañar</w:t>
      </w:r>
      <w:r w:rsidR="003569F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"/>
        </w:rPr>
        <w:t xml:space="preserve">. </w:t>
      </w:r>
      <w:r w:rsidR="003569F2" w:rsidRPr="003A3288">
        <w:rPr>
          <w:rFonts w:ascii="Times New Roman" w:hAnsi="Times New Roman" w:cs="Times New Roman"/>
          <w:sz w:val="24"/>
          <w:szCs w:val="24"/>
          <w:lang w:val="es-ES"/>
        </w:rPr>
        <w:t>En este territorio,</w:t>
      </w:r>
      <w:r w:rsidR="00FB1D9E">
        <w:rPr>
          <w:rFonts w:ascii="Times New Roman" w:hAnsi="Times New Roman" w:cs="Times New Roman"/>
          <w:sz w:val="24"/>
          <w:szCs w:val="24"/>
          <w:lang w:val="es-ES"/>
        </w:rPr>
        <w:t xml:space="preserve"> CELEC</w:t>
      </w:r>
      <w:r w:rsidR="003569F2"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 implementa un</w:t>
      </w:r>
      <w:r w:rsidR="00CD27A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569F2" w:rsidRPr="003A3288">
        <w:rPr>
          <w:rFonts w:ascii="Times New Roman" w:hAnsi="Times New Roman" w:cs="Times New Roman"/>
          <w:sz w:val="24"/>
          <w:szCs w:val="24"/>
          <w:lang w:val="es-ES"/>
        </w:rPr>
        <w:t>PDT que tiene como objetivo impulsar un proceso de desarrollo territorial con la</w:t>
      </w:r>
      <w:r w:rsidR="00113A5C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la</w:t>
      </w:r>
      <w:r w:rsidR="003569F2"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 población</w:t>
      </w:r>
      <w:r w:rsidR="00113A5C">
        <w:rPr>
          <w:rFonts w:ascii="Times New Roman" w:hAnsi="Times New Roman" w:cs="Times New Roman"/>
          <w:sz w:val="24"/>
          <w:szCs w:val="24"/>
          <w:lang w:val="es-ES"/>
        </w:rPr>
        <w:t xml:space="preserve"> local</w:t>
      </w:r>
      <w:r w:rsidR="003569F2" w:rsidRPr="003A3288">
        <w:rPr>
          <w:rFonts w:ascii="Times New Roman" w:hAnsi="Times New Roman" w:cs="Times New Roman"/>
          <w:sz w:val="24"/>
          <w:szCs w:val="24"/>
          <w:lang w:val="es-ES"/>
        </w:rPr>
        <w:t>, fortaleciendo las capacidades locales, conservando las cuencas hídricas y aportando al bienestar social y económico</w:t>
      </w:r>
      <w:r w:rsidR="003569F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13A5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bookmarkStart w:id="3" w:name="_Toc62581648"/>
      <w:bookmarkStart w:id="4" w:name="_Toc64802504"/>
      <w:bookmarkStart w:id="5" w:name="_Hlk48835598"/>
      <w:r w:rsidR="00A96896" w:rsidRPr="003A328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A tenor de lo anterior, </w:t>
      </w:r>
      <w:r w:rsidR="003569F2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este trabajo se centra, por un lado, en</w:t>
      </w:r>
      <w:r w:rsidR="003569F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43458">
        <w:rPr>
          <w:rFonts w:ascii="Times New Roman" w:hAnsi="Times New Roman" w:cs="Times New Roman"/>
          <w:sz w:val="24"/>
          <w:szCs w:val="24"/>
          <w:lang w:val="es-ES"/>
        </w:rPr>
        <w:t>identificar</w:t>
      </w:r>
      <w:r w:rsidR="003569F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569F2" w:rsidRPr="003A3288">
        <w:rPr>
          <w:rFonts w:ascii="Times New Roman" w:hAnsi="Times New Roman" w:cs="Times New Roman"/>
          <w:sz w:val="24"/>
          <w:szCs w:val="24"/>
          <w:lang w:val="es-ES"/>
        </w:rPr>
        <w:t>los efectos derivados de</w:t>
      </w:r>
      <w:r w:rsidR="003569F2">
        <w:rPr>
          <w:rFonts w:ascii="Times New Roman" w:hAnsi="Times New Roman" w:cs="Times New Roman"/>
          <w:sz w:val="24"/>
          <w:szCs w:val="24"/>
          <w:lang w:val="es-ES"/>
        </w:rPr>
        <w:t>l PDT</w:t>
      </w:r>
      <w:r w:rsidR="00CD27A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569F2">
        <w:rPr>
          <w:rFonts w:ascii="Times New Roman" w:hAnsi="Times New Roman" w:cs="Times New Roman"/>
          <w:sz w:val="24"/>
          <w:szCs w:val="24"/>
          <w:lang w:val="es-ES"/>
        </w:rPr>
        <w:t xml:space="preserve"> como</w:t>
      </w:r>
      <w:r w:rsidR="003569F2"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 instrumento de desarrollo territorial</w:t>
      </w:r>
      <w:r w:rsidR="00CD27A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569F2"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569F2">
        <w:rPr>
          <w:rFonts w:ascii="Times New Roman" w:hAnsi="Times New Roman" w:cs="Times New Roman"/>
          <w:sz w:val="24"/>
          <w:szCs w:val="24"/>
          <w:lang w:val="es-ES"/>
        </w:rPr>
        <w:t xml:space="preserve">desde la perspectiva de su contribución a la sostenibilidad de la zona de influencia. </w:t>
      </w:r>
      <w:r w:rsidR="00843458">
        <w:rPr>
          <w:rFonts w:ascii="Times New Roman" w:hAnsi="Times New Roman" w:cs="Times New Roman"/>
          <w:sz w:val="24"/>
          <w:szCs w:val="24"/>
          <w:lang w:val="es-ES"/>
        </w:rPr>
        <w:t xml:space="preserve">Y, por otro lado, </w:t>
      </w:r>
      <w:r w:rsidR="003569F2">
        <w:rPr>
          <w:rFonts w:ascii="Times New Roman" w:hAnsi="Times New Roman" w:cs="Times New Roman"/>
          <w:sz w:val="24"/>
          <w:szCs w:val="24"/>
          <w:lang w:val="es-ES"/>
        </w:rPr>
        <w:t xml:space="preserve">analizar el PDT como herramienta de desarrollo territorial desde </w:t>
      </w:r>
      <w:r w:rsidR="00843458">
        <w:rPr>
          <w:rFonts w:ascii="Times New Roman" w:hAnsi="Times New Roman" w:cs="Times New Roman"/>
          <w:sz w:val="24"/>
          <w:szCs w:val="24"/>
          <w:lang w:val="es-ES"/>
        </w:rPr>
        <w:t xml:space="preserve">la perspectiva de la </w:t>
      </w:r>
      <w:r w:rsidR="00843458" w:rsidRPr="00843458">
        <w:rPr>
          <w:rFonts w:ascii="Times New Roman" w:hAnsi="Times New Roman" w:cs="Times New Roman"/>
          <w:i/>
          <w:iCs/>
          <w:sz w:val="24"/>
          <w:szCs w:val="24"/>
          <w:lang w:val="es-ES"/>
        </w:rPr>
        <w:t>justicia energética</w:t>
      </w:r>
      <w:r w:rsidR="00843458">
        <w:rPr>
          <w:rFonts w:ascii="Times New Roman" w:hAnsi="Times New Roman" w:cs="Times New Roman"/>
          <w:sz w:val="24"/>
          <w:szCs w:val="24"/>
          <w:lang w:val="es-ES"/>
        </w:rPr>
        <w:t xml:space="preserve"> en la esfera local. </w:t>
      </w:r>
      <w:r w:rsidR="00606D25">
        <w:rPr>
          <w:rFonts w:ascii="Times New Roman" w:hAnsi="Times New Roman" w:cs="Times New Roman"/>
          <w:sz w:val="24"/>
          <w:szCs w:val="24"/>
          <w:lang w:val="es-ES"/>
        </w:rPr>
        <w:t>Para alcanzar estos objetivos, e</w:t>
      </w:r>
      <w:r w:rsidR="00843458" w:rsidRPr="003A3288">
        <w:rPr>
          <w:rFonts w:ascii="Times New Roman" w:eastAsia="Garamond" w:hAnsi="Times New Roman" w:cs="Times New Roman"/>
          <w:sz w:val="24"/>
          <w:szCs w:val="24"/>
          <w:lang w:val="es-ES"/>
        </w:rPr>
        <w:t xml:space="preserve">n </w:t>
      </w:r>
      <w:r w:rsidR="00CD27A3">
        <w:rPr>
          <w:rFonts w:ascii="Times New Roman" w:eastAsia="Garamond" w:hAnsi="Times New Roman" w:cs="Times New Roman"/>
          <w:sz w:val="24"/>
          <w:szCs w:val="24"/>
          <w:lang w:val="es-ES"/>
        </w:rPr>
        <w:t>esta</w:t>
      </w:r>
      <w:r w:rsidR="00843458" w:rsidRPr="003A3288">
        <w:rPr>
          <w:rFonts w:ascii="Times New Roman" w:eastAsia="Garamond" w:hAnsi="Times New Roman" w:cs="Times New Roman"/>
          <w:sz w:val="24"/>
          <w:szCs w:val="24"/>
          <w:lang w:val="es-ES"/>
        </w:rPr>
        <w:t xml:space="preserve"> investigación se utiliz</w:t>
      </w:r>
      <w:r w:rsidR="00CD27A3">
        <w:rPr>
          <w:rFonts w:ascii="Times New Roman" w:eastAsia="Garamond" w:hAnsi="Times New Roman" w:cs="Times New Roman"/>
          <w:sz w:val="24"/>
          <w:szCs w:val="24"/>
          <w:lang w:val="es-ES"/>
        </w:rPr>
        <w:t>ó</w:t>
      </w:r>
      <w:r w:rsidR="00843458" w:rsidRPr="003A3288">
        <w:rPr>
          <w:rFonts w:ascii="Times New Roman" w:eastAsia="Garamond" w:hAnsi="Times New Roman" w:cs="Times New Roman"/>
          <w:sz w:val="24"/>
          <w:szCs w:val="24"/>
          <w:lang w:val="es-ES"/>
        </w:rPr>
        <w:t xml:space="preserve"> el enfoque metodológico del estudio de casos, a partir del análisis </w:t>
      </w:r>
      <w:r w:rsidR="008F502A">
        <w:rPr>
          <w:rFonts w:ascii="Times New Roman" w:eastAsia="Garamond" w:hAnsi="Times New Roman" w:cs="Times New Roman"/>
          <w:sz w:val="24"/>
          <w:szCs w:val="24"/>
          <w:lang w:val="es-ES"/>
        </w:rPr>
        <w:t>de contenido temático</w:t>
      </w:r>
      <w:r w:rsidR="00843458" w:rsidRPr="003A3288">
        <w:rPr>
          <w:rFonts w:ascii="Times New Roman" w:eastAsia="Garamond" w:hAnsi="Times New Roman" w:cs="Times New Roman"/>
          <w:sz w:val="24"/>
          <w:szCs w:val="24"/>
          <w:lang w:val="es-ES"/>
        </w:rPr>
        <w:t xml:space="preserve"> del discurso en el sistema de actores locales. </w:t>
      </w:r>
      <w:r w:rsidR="003D4870">
        <w:rPr>
          <w:rFonts w:ascii="Times New Roman" w:eastAsia="Garamond" w:hAnsi="Times New Roman" w:cs="Times New Roman"/>
          <w:sz w:val="24"/>
          <w:szCs w:val="24"/>
          <w:lang w:val="es-ES"/>
        </w:rPr>
        <w:t xml:space="preserve">El </w:t>
      </w:r>
      <w:r w:rsidR="00A96896" w:rsidRPr="003A3288">
        <w:rPr>
          <w:rFonts w:ascii="Times New Roman" w:eastAsia="Garamond" w:hAnsi="Times New Roman" w:cs="Times New Roman"/>
          <w:sz w:val="24"/>
          <w:szCs w:val="24"/>
          <w:lang w:val="es-ES"/>
        </w:rPr>
        <w:t xml:space="preserve">método </w:t>
      </w:r>
      <w:r w:rsidR="003D4870">
        <w:rPr>
          <w:rFonts w:ascii="Times New Roman" w:eastAsia="Garamond" w:hAnsi="Times New Roman" w:cs="Times New Roman"/>
          <w:sz w:val="24"/>
          <w:szCs w:val="24"/>
          <w:lang w:val="es-ES"/>
        </w:rPr>
        <w:lastRenderedPageBreak/>
        <w:t>utilizado para la</w:t>
      </w:r>
      <w:r w:rsidR="00A96896" w:rsidRPr="003A3288">
        <w:rPr>
          <w:rFonts w:ascii="Times New Roman" w:eastAsia="Garamond" w:hAnsi="Times New Roman" w:cs="Times New Roman"/>
          <w:sz w:val="24"/>
          <w:szCs w:val="24"/>
          <w:lang w:val="es-ES"/>
        </w:rPr>
        <w:t xml:space="preserve"> recogida de información</w:t>
      </w:r>
      <w:r w:rsidR="00ED7605">
        <w:rPr>
          <w:rFonts w:ascii="Times New Roman" w:eastAsia="Garamond" w:hAnsi="Times New Roman" w:cs="Times New Roman"/>
          <w:sz w:val="24"/>
          <w:szCs w:val="24"/>
          <w:lang w:val="es-ES"/>
        </w:rPr>
        <w:t xml:space="preserve"> </w:t>
      </w:r>
      <w:r w:rsidR="003D4870">
        <w:rPr>
          <w:rFonts w:ascii="Times New Roman" w:eastAsia="Garamond" w:hAnsi="Times New Roman" w:cs="Times New Roman"/>
          <w:sz w:val="24"/>
          <w:szCs w:val="24"/>
          <w:lang w:val="es-ES"/>
        </w:rPr>
        <w:t xml:space="preserve">fue </w:t>
      </w:r>
      <w:r w:rsidR="003D4870" w:rsidRPr="003A3288">
        <w:rPr>
          <w:rFonts w:ascii="Times New Roman" w:eastAsia="Garamond" w:hAnsi="Times New Roman" w:cs="Times New Roman"/>
          <w:sz w:val="24"/>
          <w:szCs w:val="24"/>
          <w:lang w:val="es-ES"/>
        </w:rPr>
        <w:t xml:space="preserve">la entrevista semiestructurada </w:t>
      </w:r>
      <w:r w:rsidR="00ED7605">
        <w:rPr>
          <w:rFonts w:ascii="Times New Roman" w:eastAsia="Garamond" w:hAnsi="Times New Roman" w:cs="Times New Roman"/>
          <w:sz w:val="24"/>
          <w:szCs w:val="24"/>
          <w:lang w:val="es-ES"/>
        </w:rPr>
        <w:t xml:space="preserve">y </w:t>
      </w:r>
      <w:r w:rsidR="00A96896" w:rsidRPr="003A3288">
        <w:rPr>
          <w:rFonts w:ascii="Times New Roman" w:eastAsia="Garamond" w:hAnsi="Times New Roman" w:cs="Times New Roman"/>
          <w:bCs/>
          <w:sz w:val="24"/>
          <w:szCs w:val="24"/>
          <w:lang w:val="es-ES"/>
        </w:rPr>
        <w:t xml:space="preserve">el tratamiento de la información se </w:t>
      </w:r>
      <w:r w:rsidR="003D4870">
        <w:rPr>
          <w:rFonts w:ascii="Times New Roman" w:eastAsia="Garamond" w:hAnsi="Times New Roman" w:cs="Times New Roman"/>
          <w:bCs/>
          <w:sz w:val="24"/>
          <w:szCs w:val="24"/>
          <w:lang w:val="es-ES"/>
        </w:rPr>
        <w:t xml:space="preserve">realizó con el </w:t>
      </w:r>
      <w:r w:rsidR="00A96896" w:rsidRPr="003A3288">
        <w:rPr>
          <w:rFonts w:ascii="Times New Roman" w:eastAsia="Garamond" w:hAnsi="Times New Roman" w:cs="Times New Roman"/>
          <w:bCs/>
          <w:sz w:val="24"/>
          <w:szCs w:val="24"/>
          <w:lang w:val="es-ES"/>
        </w:rPr>
        <w:t xml:space="preserve">software MAXQDA. </w:t>
      </w:r>
      <w:bookmarkEnd w:id="2"/>
      <w:bookmarkEnd w:id="3"/>
      <w:bookmarkEnd w:id="4"/>
      <w:bookmarkEnd w:id="5"/>
    </w:p>
    <w:p w14:paraId="42A0CB02" w14:textId="2BFDF1D5" w:rsidR="00760EF3" w:rsidRDefault="00ED3AE5" w:rsidP="00760EF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Los resultados obtenidos muestran que, globalmente, el PDT está teniendo una contribución positiva </w:t>
      </w:r>
      <w:r w:rsidR="00760EF3">
        <w:rPr>
          <w:rFonts w:ascii="Times New Roman" w:hAnsi="Times New Roman" w:cs="Times New Roman"/>
          <w:sz w:val="24"/>
          <w:szCs w:val="24"/>
          <w:lang w:val="es-ES"/>
        </w:rPr>
        <w:t xml:space="preserve">pero limitada </w:t>
      </w:r>
      <w:r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en cuanto a la mejora de la sostenibilidad y la justicia energética de las comunidades locales. </w:t>
      </w:r>
      <w:r w:rsidR="00CE727F">
        <w:rPr>
          <w:rFonts w:ascii="Times New Roman" w:hAnsi="Times New Roman" w:cs="Times New Roman"/>
          <w:sz w:val="24"/>
          <w:szCs w:val="24"/>
          <w:lang w:val="es-ES"/>
        </w:rPr>
        <w:t>Respecto a su contribución a la sostenibilidad local,</w:t>
      </w:r>
      <w:r w:rsidR="00113A5C">
        <w:rPr>
          <w:rFonts w:ascii="Times New Roman" w:hAnsi="Times New Roman" w:cs="Times New Roman"/>
          <w:sz w:val="24"/>
          <w:szCs w:val="24"/>
          <w:lang w:val="es-ES"/>
        </w:rPr>
        <w:t xml:space="preserve"> existen </w:t>
      </w:r>
      <w:r w:rsidR="00113A5C"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avances en la línea de </w:t>
      </w:r>
      <w:r w:rsidR="00113A5C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="00113A5C" w:rsidRPr="003A3288">
        <w:rPr>
          <w:rFonts w:ascii="Times New Roman" w:hAnsi="Times New Roman" w:cs="Times New Roman"/>
          <w:sz w:val="24"/>
          <w:szCs w:val="24"/>
          <w:lang w:val="es-ES"/>
        </w:rPr>
        <w:t>diferentes O</w:t>
      </w:r>
      <w:r w:rsidR="00113A5C">
        <w:rPr>
          <w:rFonts w:ascii="Times New Roman" w:hAnsi="Times New Roman" w:cs="Times New Roman"/>
          <w:sz w:val="24"/>
          <w:szCs w:val="24"/>
          <w:lang w:val="es-ES"/>
        </w:rPr>
        <w:t xml:space="preserve">bjetivos de </w:t>
      </w:r>
      <w:r w:rsidR="00113A5C" w:rsidRPr="003A3288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113A5C">
        <w:rPr>
          <w:rFonts w:ascii="Times New Roman" w:hAnsi="Times New Roman" w:cs="Times New Roman"/>
          <w:sz w:val="24"/>
          <w:szCs w:val="24"/>
          <w:lang w:val="es-ES"/>
        </w:rPr>
        <w:t xml:space="preserve">esarrollo </w:t>
      </w:r>
      <w:r w:rsidR="00113A5C" w:rsidRPr="003A3288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113A5C">
        <w:rPr>
          <w:rFonts w:ascii="Times New Roman" w:hAnsi="Times New Roman" w:cs="Times New Roman"/>
          <w:sz w:val="24"/>
          <w:szCs w:val="24"/>
          <w:lang w:val="es-ES"/>
        </w:rPr>
        <w:t>ostenible</w:t>
      </w:r>
      <w:r w:rsidR="00113A5C" w:rsidRPr="003A3288">
        <w:rPr>
          <w:rFonts w:ascii="Times New Roman" w:hAnsi="Times New Roman" w:cs="Times New Roman"/>
          <w:sz w:val="24"/>
          <w:szCs w:val="24"/>
          <w:lang w:val="es-ES"/>
        </w:rPr>
        <w:t>, principalmente a través de mejoras en infraestructuras</w:t>
      </w:r>
      <w:r w:rsidR="00113A5C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113A5C"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equipamientos </w:t>
      </w:r>
      <w:r w:rsidR="00113A5C">
        <w:rPr>
          <w:rFonts w:ascii="Times New Roman" w:hAnsi="Times New Roman" w:cs="Times New Roman"/>
          <w:sz w:val="24"/>
          <w:szCs w:val="24"/>
          <w:lang w:val="es-ES"/>
        </w:rPr>
        <w:t>y servicios. N</w:t>
      </w:r>
      <w:r w:rsidRPr="003A3288">
        <w:rPr>
          <w:rFonts w:ascii="Times New Roman" w:hAnsi="Times New Roman" w:cs="Times New Roman"/>
          <w:sz w:val="24"/>
          <w:szCs w:val="24"/>
          <w:lang w:val="es-ES"/>
        </w:rPr>
        <w:t>o obstante, las entrevistas ponen de relieve que esa contribución presenta aún insuficiencias notables en determinados aspectos.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A3288">
        <w:rPr>
          <w:rFonts w:ascii="Times New Roman" w:hAnsi="Times New Roman" w:cs="Times New Roman"/>
          <w:sz w:val="24"/>
          <w:szCs w:val="24"/>
          <w:lang w:val="es-ES"/>
        </w:rPr>
        <w:t>Así, con relación a la sostenibilidad ambiental, pese a que se trata de una central de pequeño tamaño, los actores locales destacan la insuficiente o inadecuada mitigación de los efectos paisajístico-ambientales. Con relación a la dimensión económica,</w:t>
      </w:r>
      <w:r w:rsidR="00760E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B1D9E"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desde la perspectiva de los actores locales, </w:t>
      </w:r>
      <w:r w:rsidR="00760EF3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A96896"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s acciones </w:t>
      </w:r>
      <w:r w:rsidR="00760EF3">
        <w:rPr>
          <w:rFonts w:ascii="Times New Roman" w:hAnsi="Times New Roman" w:cs="Times New Roman"/>
          <w:sz w:val="24"/>
          <w:szCs w:val="24"/>
          <w:lang w:val="es-ES"/>
        </w:rPr>
        <w:t xml:space="preserve">para el estímulo al desarrollo productivo no han sido efectivas en el fortalecimiento del sector agropecuario ni han contribuido a la diversificación </w:t>
      </w:r>
      <w:r w:rsidR="00760EF3"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hacia sectores como el turismo o la agroindustria. </w:t>
      </w:r>
    </w:p>
    <w:p w14:paraId="4364158F" w14:textId="0CF3A31F" w:rsidR="00760EF3" w:rsidRPr="003A3288" w:rsidRDefault="00760EF3" w:rsidP="00760EF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En cuanto </w:t>
      </w:r>
      <w:r w:rsidR="00FB1D9E">
        <w:rPr>
          <w:rFonts w:ascii="Times New Roman" w:hAnsi="Times New Roman" w:cs="Times New Roman"/>
          <w:sz w:val="24"/>
          <w:szCs w:val="24"/>
          <w:lang w:val="es-ES"/>
        </w:rPr>
        <w:t>al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papel </w:t>
      </w:r>
      <w:r w:rsidR="00FB1D9E">
        <w:rPr>
          <w:rFonts w:ascii="Times New Roman" w:hAnsi="Times New Roman" w:cs="Times New Roman"/>
          <w:sz w:val="24"/>
          <w:szCs w:val="24"/>
          <w:lang w:val="es-ES"/>
        </w:rPr>
        <w:t xml:space="preserve">del PDT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como instrumento de compensación y de justicia energética,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los resultados del estudio ponen de relieve que el PDT como herramienta de justicia energética</w:t>
      </w:r>
      <w:r w:rsidRPr="003A328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presenta inconvenientes en tres aspectos fundamentales. Primero, </w:t>
      </w:r>
      <w:r w:rsidR="0096618E"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la distribución de </w:t>
      </w:r>
      <w:r w:rsidR="0096618E">
        <w:rPr>
          <w:rFonts w:ascii="Times New Roman" w:hAnsi="Times New Roman" w:cs="Times New Roman"/>
          <w:sz w:val="24"/>
          <w:szCs w:val="24"/>
          <w:lang w:val="es-ES"/>
        </w:rPr>
        <w:t>las actuaciones</w:t>
      </w:r>
      <w:r w:rsidR="0096618E"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 entre las comunidades locales</w:t>
      </w:r>
      <w:r w:rsidR="0096618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618E" w:rsidRPr="003A3288">
        <w:rPr>
          <w:rFonts w:ascii="Times New Roman" w:hAnsi="Times New Roman" w:cs="Times New Roman"/>
          <w:sz w:val="24"/>
          <w:szCs w:val="24"/>
          <w:lang w:val="es-ES"/>
        </w:rPr>
        <w:t>no se percibe como totalmente justa, dado que no siempre responde a las necesidades reales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3A3288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</w:t>
      </w:r>
      <w:bookmarkStart w:id="6" w:name="_Hlk52986436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Segundo, el planteamiento de los actores locales es que </w:t>
      </w:r>
      <w:r w:rsidRPr="003A3288">
        <w:rPr>
          <w:rFonts w:ascii="Times New Roman" w:hAnsi="Times New Roman" w:cs="Times New Roman"/>
          <w:sz w:val="24"/>
          <w:szCs w:val="24"/>
          <w:lang w:val="es-ES"/>
        </w:rPr>
        <w:t>no se está produciendo un reconocimiento suficiente de los derechos de las comunidades locales, o al menos de algunos colectivos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vinculados a actividades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económicas </w:t>
      </w:r>
      <w:r w:rsidRPr="003A3288">
        <w:rPr>
          <w:rFonts w:ascii="Times New Roman" w:hAnsi="Times New Roman" w:cs="Times New Roman"/>
          <w:sz w:val="24"/>
          <w:szCs w:val="24"/>
          <w:lang w:val="es-ES"/>
        </w:rPr>
        <w:t>especialmente afectadas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por el PHMD</w:t>
      </w:r>
      <w:r w:rsidRPr="003A328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bookmarkEnd w:id="6"/>
      <w:r>
        <w:rPr>
          <w:rFonts w:ascii="Times New Roman" w:hAnsi="Times New Roman" w:cs="Times New Roman"/>
          <w:sz w:val="24"/>
          <w:szCs w:val="24"/>
          <w:lang w:val="es-ES"/>
        </w:rPr>
        <w:t xml:space="preserve">Y, tercero, </w:t>
      </w:r>
      <w:r w:rsidR="0096618E" w:rsidRPr="003A3288">
        <w:rPr>
          <w:rFonts w:ascii="Times New Roman" w:hAnsi="Times New Roman" w:cs="Times New Roman"/>
          <w:sz w:val="24"/>
          <w:szCs w:val="24"/>
          <w:lang w:val="es-ES"/>
        </w:rPr>
        <w:t>desde la perspectiva de los actores locales</w:t>
      </w:r>
      <w:r w:rsidR="0096618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="0096618E">
        <w:rPr>
          <w:rFonts w:ascii="Times New Roman" w:hAnsi="Times New Roman" w:cs="Times New Roman"/>
          <w:sz w:val="24"/>
          <w:szCs w:val="24"/>
          <w:lang w:val="es-ES"/>
        </w:rPr>
        <w:t xml:space="preserve">mecanismos </w:t>
      </w:r>
      <w:r>
        <w:rPr>
          <w:rFonts w:ascii="Times New Roman" w:hAnsi="Times New Roman" w:cs="Times New Roman"/>
          <w:sz w:val="24"/>
          <w:szCs w:val="24"/>
          <w:lang w:val="es-ES"/>
        </w:rPr>
        <w:t>participativos para el diseño e implementación del PDT</w:t>
      </w:r>
      <w:r w:rsidR="0096618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A3288">
        <w:rPr>
          <w:rFonts w:ascii="Times New Roman" w:hAnsi="Times New Roman" w:cs="Times New Roman"/>
          <w:sz w:val="24"/>
          <w:szCs w:val="24"/>
          <w:lang w:val="es-ES"/>
        </w:rPr>
        <w:t>se han limitado a</w:t>
      </w:r>
      <w:r w:rsidR="00FB1D9E">
        <w:rPr>
          <w:rFonts w:ascii="Times New Roman" w:hAnsi="Times New Roman" w:cs="Times New Roman"/>
          <w:sz w:val="24"/>
          <w:szCs w:val="24"/>
          <w:lang w:val="es-ES"/>
        </w:rPr>
        <w:t xml:space="preserve"> acciones informativas y de socialización</w:t>
      </w:r>
      <w:r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, sin que hayan servido </w:t>
      </w:r>
      <w:r w:rsidR="00FB1D9E">
        <w:rPr>
          <w:rFonts w:ascii="Times New Roman" w:hAnsi="Times New Roman" w:cs="Times New Roman"/>
          <w:sz w:val="24"/>
          <w:szCs w:val="24"/>
          <w:lang w:val="es-ES"/>
        </w:rPr>
        <w:t xml:space="preserve">efectivamente </w:t>
      </w:r>
      <w:r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para canalizar </w:t>
      </w:r>
      <w:r w:rsidR="0096618E">
        <w:rPr>
          <w:rFonts w:ascii="Times New Roman" w:hAnsi="Times New Roman" w:cs="Times New Roman"/>
          <w:sz w:val="24"/>
          <w:szCs w:val="24"/>
          <w:lang w:val="es-ES"/>
        </w:rPr>
        <w:t>las aspiraciones de la población local.</w:t>
      </w:r>
    </w:p>
    <w:p w14:paraId="19644558" w14:textId="272B30BC" w:rsidR="00506410" w:rsidRDefault="00760EF3" w:rsidP="0050641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A3288">
        <w:rPr>
          <w:rFonts w:ascii="Times New Roman" w:hAnsi="Times New Roman" w:cs="Times New Roman"/>
          <w:sz w:val="24"/>
          <w:szCs w:val="24"/>
          <w:lang w:val="es-ES"/>
        </w:rPr>
        <w:t>Los PDT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s </w:t>
      </w:r>
      <w:r w:rsidRPr="003A3288">
        <w:rPr>
          <w:rFonts w:ascii="Times New Roman" w:hAnsi="Times New Roman" w:cs="Times New Roman"/>
          <w:sz w:val="24"/>
          <w:szCs w:val="24"/>
          <w:lang w:val="es-ES"/>
        </w:rPr>
        <w:t>son un potente instrumento de política pública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A96896" w:rsidRPr="003A3288">
        <w:rPr>
          <w:rFonts w:ascii="Times New Roman" w:hAnsi="Times New Roman" w:cs="Times New Roman"/>
          <w:sz w:val="24"/>
          <w:szCs w:val="24"/>
          <w:lang w:val="es-ES"/>
        </w:rPr>
        <w:t>En el caso de estudio, sin embargo, los resultados están aún lejos de</w:t>
      </w:r>
      <w:r w:rsidR="00FB1D9E">
        <w:rPr>
          <w:rFonts w:ascii="Times New Roman" w:hAnsi="Times New Roman" w:cs="Times New Roman"/>
          <w:sz w:val="24"/>
          <w:szCs w:val="24"/>
          <w:lang w:val="es-ES"/>
        </w:rPr>
        <w:t xml:space="preserve"> alcanzar</w:t>
      </w:r>
      <w:r w:rsidR="0096618E">
        <w:rPr>
          <w:rFonts w:ascii="Times New Roman" w:hAnsi="Times New Roman" w:cs="Times New Roman"/>
          <w:sz w:val="24"/>
          <w:szCs w:val="24"/>
          <w:lang w:val="es-ES"/>
        </w:rPr>
        <w:t xml:space="preserve"> dicho </w:t>
      </w:r>
      <w:r w:rsidR="00A96896"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potencial, debido </w:t>
      </w:r>
      <w:r w:rsidR="0096618E">
        <w:rPr>
          <w:rFonts w:ascii="Times New Roman" w:hAnsi="Times New Roman" w:cs="Times New Roman"/>
          <w:sz w:val="24"/>
          <w:szCs w:val="24"/>
          <w:lang w:val="es-ES"/>
        </w:rPr>
        <w:t xml:space="preserve">-en gran medida- </w:t>
      </w:r>
      <w:r w:rsidR="00A96896"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al enfoque a partir del cual se ha llevado a cabo </w:t>
      </w:r>
      <w:r w:rsidR="00FB1D9E">
        <w:rPr>
          <w:rFonts w:ascii="Times New Roman" w:hAnsi="Times New Roman" w:cs="Times New Roman"/>
          <w:sz w:val="24"/>
          <w:szCs w:val="24"/>
          <w:lang w:val="es-ES"/>
        </w:rPr>
        <w:t>su</w:t>
      </w:r>
      <w:r w:rsidR="00A96896"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 diseño y puesta en </w:t>
      </w:r>
      <w:r w:rsidR="00FB1D9E">
        <w:rPr>
          <w:rFonts w:ascii="Times New Roman" w:hAnsi="Times New Roman" w:cs="Times New Roman"/>
          <w:sz w:val="24"/>
          <w:szCs w:val="24"/>
          <w:lang w:val="es-ES"/>
        </w:rPr>
        <w:t>marcha</w:t>
      </w:r>
      <w:r w:rsidR="00A96896"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 por parte de las instituciones responsables. En este sentido, </w:t>
      </w:r>
      <w:r w:rsidR="0096618E">
        <w:rPr>
          <w:rFonts w:ascii="Times New Roman" w:hAnsi="Times New Roman" w:cs="Times New Roman"/>
          <w:sz w:val="24"/>
          <w:szCs w:val="24"/>
          <w:lang w:val="es-ES"/>
        </w:rPr>
        <w:t>implementar auténticos procesos de participación</w:t>
      </w:r>
      <w:r w:rsidR="00A96896"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618E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A96896" w:rsidRPr="003A3288">
        <w:rPr>
          <w:rFonts w:ascii="Times New Roman" w:hAnsi="Times New Roman" w:cs="Times New Roman"/>
          <w:sz w:val="24"/>
          <w:szCs w:val="24"/>
          <w:lang w:val="es-ES"/>
        </w:rPr>
        <w:t xml:space="preserve">las comunidades locales, aprovechando el importante stock de capital social comunitario existente, redundaría de manera muy positiva sobre el desarrollo sostenible y la calidad de vida de los ciudadanos de estas áreas rurales. </w:t>
      </w:r>
    </w:p>
    <w:p w14:paraId="0E5C4338" w14:textId="14BC5DB9" w:rsidR="00506410" w:rsidRPr="00506410" w:rsidRDefault="00FE3247" w:rsidP="0050641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3247">
        <w:rPr>
          <w:rFonts w:ascii="Times New Roman" w:eastAsia="Times New Roman" w:hAnsi="Times New Roman" w:cs="Times New Roman"/>
          <w:b/>
          <w:bCs/>
          <w:color w:val="291F08"/>
          <w:kern w:val="0"/>
          <w:sz w:val="24"/>
          <w:szCs w:val="24"/>
          <w:lang w:val="es-ES"/>
          <w14:ligatures w14:val="none"/>
        </w:rPr>
        <w:t xml:space="preserve">Palabras clave: </w:t>
      </w:r>
      <w:r>
        <w:rPr>
          <w:rFonts w:ascii="Times New Roman" w:eastAsia="Times New Roman" w:hAnsi="Times New Roman" w:cs="Times New Roman"/>
          <w:color w:val="291F08"/>
          <w:kern w:val="0"/>
          <w:sz w:val="24"/>
          <w:szCs w:val="24"/>
          <w:lang w:val="es-ES"/>
          <w14:ligatures w14:val="none"/>
        </w:rPr>
        <w:t xml:space="preserve">Planes de desarrollo territorial, </w:t>
      </w:r>
      <w:r w:rsidRPr="00FE3247">
        <w:rPr>
          <w:rFonts w:ascii="Times New Roman" w:eastAsia="Times New Roman" w:hAnsi="Times New Roman" w:cs="Times New Roman"/>
          <w:color w:val="291F08"/>
          <w:kern w:val="0"/>
          <w:sz w:val="24"/>
          <w:szCs w:val="24"/>
          <w:lang w:val="es-ES"/>
          <w14:ligatures w14:val="none"/>
        </w:rPr>
        <w:t>e</w:t>
      </w:r>
      <w:r>
        <w:rPr>
          <w:rFonts w:ascii="Times New Roman" w:eastAsia="Times New Roman" w:hAnsi="Times New Roman" w:cs="Times New Roman"/>
          <w:color w:val="291F08"/>
          <w:kern w:val="0"/>
          <w:sz w:val="24"/>
          <w:szCs w:val="24"/>
          <w:lang w:val="es-ES"/>
          <w14:ligatures w14:val="none"/>
        </w:rPr>
        <w:t>nergías renovables, sostenibilidad local, justicia energética.</w:t>
      </w:r>
    </w:p>
    <w:p w14:paraId="49FC9A1B" w14:textId="77777777" w:rsidR="00FE3247" w:rsidRPr="003A3288" w:rsidRDefault="00FE3247" w:rsidP="00760EF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DC71778" w14:textId="2A49AB47" w:rsidR="00A96896" w:rsidRPr="00A85A35" w:rsidRDefault="00A96896" w:rsidP="00A85A3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766AC32" w14:textId="77777777" w:rsidR="00A96896" w:rsidRPr="0089569F" w:rsidRDefault="00A96896" w:rsidP="00A96896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91F08"/>
          <w:kern w:val="0"/>
          <w:sz w:val="24"/>
          <w:szCs w:val="24"/>
          <w:lang w:val="es-ES"/>
          <w14:ligatures w14:val="none"/>
        </w:rPr>
      </w:pPr>
    </w:p>
    <w:sectPr w:rsidR="00A96896" w:rsidRPr="0089569F" w:rsidSect="00DC6D88">
      <w:pgSz w:w="11909" w:h="16834" w:code="9"/>
      <w:pgMar w:top="1411" w:right="1133" w:bottom="1133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F5F9" w14:textId="77777777" w:rsidR="00397E01" w:rsidRDefault="00397E01" w:rsidP="00A96896">
      <w:pPr>
        <w:spacing w:after="0" w:line="240" w:lineRule="auto"/>
      </w:pPr>
      <w:r>
        <w:separator/>
      </w:r>
    </w:p>
  </w:endnote>
  <w:endnote w:type="continuationSeparator" w:id="0">
    <w:p w14:paraId="74694115" w14:textId="77777777" w:rsidR="00397E01" w:rsidRDefault="00397E01" w:rsidP="00A9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79827" w14:textId="77777777" w:rsidR="00397E01" w:rsidRDefault="00397E01" w:rsidP="00A96896">
      <w:pPr>
        <w:spacing w:after="0" w:line="240" w:lineRule="auto"/>
      </w:pPr>
      <w:r>
        <w:separator/>
      </w:r>
    </w:p>
  </w:footnote>
  <w:footnote w:type="continuationSeparator" w:id="0">
    <w:p w14:paraId="6BAEB9BE" w14:textId="77777777" w:rsidR="00397E01" w:rsidRDefault="00397E01" w:rsidP="00A96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Envelope" style="width:14pt;height:11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" o:bullet="t">
        <v:imagedata r:id="rId1" o:title="" croptop="-8600f" cropbottom="-7117f"/>
      </v:shape>
    </w:pict>
  </w:numPicBullet>
  <w:abstractNum w:abstractNumId="0" w15:restartNumberingAfterBreak="0">
    <w:nsid w:val="0D48337A"/>
    <w:multiLevelType w:val="hybridMultilevel"/>
    <w:tmpl w:val="2DFA30F4"/>
    <w:lvl w:ilvl="0" w:tplc="4B0A17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F6D39"/>
    <w:multiLevelType w:val="multilevel"/>
    <w:tmpl w:val="84F095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5A49B7"/>
    <w:multiLevelType w:val="hybridMultilevel"/>
    <w:tmpl w:val="91DE9BA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1D5C"/>
    <w:multiLevelType w:val="multilevel"/>
    <w:tmpl w:val="1C50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91A7D"/>
    <w:multiLevelType w:val="multilevel"/>
    <w:tmpl w:val="0CDCAD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795394"/>
    <w:multiLevelType w:val="hybridMultilevel"/>
    <w:tmpl w:val="F572DE90"/>
    <w:lvl w:ilvl="0" w:tplc="7CAAFE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1427"/>
    <w:multiLevelType w:val="hybridMultilevel"/>
    <w:tmpl w:val="16FAC274"/>
    <w:lvl w:ilvl="0" w:tplc="672ECC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67B0C"/>
    <w:multiLevelType w:val="multilevel"/>
    <w:tmpl w:val="2182D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D45BD3"/>
    <w:multiLevelType w:val="multilevel"/>
    <w:tmpl w:val="B6903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55E1BE4"/>
    <w:multiLevelType w:val="hybridMultilevel"/>
    <w:tmpl w:val="B8620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C634A"/>
    <w:multiLevelType w:val="hybridMultilevel"/>
    <w:tmpl w:val="E6F61CBE"/>
    <w:lvl w:ilvl="0" w:tplc="C44E5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B648C"/>
    <w:multiLevelType w:val="hybridMultilevel"/>
    <w:tmpl w:val="8A2AE0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84DE4"/>
    <w:multiLevelType w:val="multilevel"/>
    <w:tmpl w:val="18D87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1627E4E"/>
    <w:multiLevelType w:val="hybridMultilevel"/>
    <w:tmpl w:val="829E6CE4"/>
    <w:lvl w:ilvl="0" w:tplc="4B0A17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20ADD"/>
    <w:multiLevelType w:val="hybridMultilevel"/>
    <w:tmpl w:val="8A2AE0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9315D"/>
    <w:multiLevelType w:val="hybridMultilevel"/>
    <w:tmpl w:val="C38C49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B616F"/>
    <w:multiLevelType w:val="hybridMultilevel"/>
    <w:tmpl w:val="354287A0"/>
    <w:lvl w:ilvl="0" w:tplc="86027C20">
      <w:numFmt w:val="bullet"/>
      <w:lvlText w:val=""/>
      <w:lvlJc w:val="left"/>
      <w:pPr>
        <w:ind w:left="413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7" w15:restartNumberingAfterBreak="0">
    <w:nsid w:val="52067744"/>
    <w:multiLevelType w:val="multilevel"/>
    <w:tmpl w:val="8C96BB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7437B9D"/>
    <w:multiLevelType w:val="hybridMultilevel"/>
    <w:tmpl w:val="0E78619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E6D81"/>
    <w:multiLevelType w:val="multilevel"/>
    <w:tmpl w:val="F97A8A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0DD5626"/>
    <w:multiLevelType w:val="hybridMultilevel"/>
    <w:tmpl w:val="81F40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85099"/>
    <w:multiLevelType w:val="hybridMultilevel"/>
    <w:tmpl w:val="0E78619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D24C6"/>
    <w:multiLevelType w:val="hybridMultilevel"/>
    <w:tmpl w:val="206C5424"/>
    <w:lvl w:ilvl="0" w:tplc="93687D7A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24FE2"/>
    <w:multiLevelType w:val="hybridMultilevel"/>
    <w:tmpl w:val="987C4B74"/>
    <w:lvl w:ilvl="0" w:tplc="4B0A17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771B2"/>
    <w:multiLevelType w:val="multilevel"/>
    <w:tmpl w:val="0DF4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73509A"/>
    <w:multiLevelType w:val="hybridMultilevel"/>
    <w:tmpl w:val="D9E4A194"/>
    <w:lvl w:ilvl="0" w:tplc="4DE0F8DC">
      <w:numFmt w:val="bullet"/>
      <w:lvlText w:val=""/>
      <w:lvlJc w:val="left"/>
      <w:pPr>
        <w:ind w:left="720" w:hanging="360"/>
      </w:pPr>
      <w:rPr>
        <w:rFonts w:ascii="Wingdings" w:eastAsia="Garamond" w:hAnsi="Wingdings" w:cs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472E4"/>
    <w:multiLevelType w:val="multilevel"/>
    <w:tmpl w:val="F30A6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3485D8A"/>
    <w:multiLevelType w:val="multilevel"/>
    <w:tmpl w:val="F30A6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8C56B50"/>
    <w:multiLevelType w:val="hybridMultilevel"/>
    <w:tmpl w:val="6C14A642"/>
    <w:lvl w:ilvl="0" w:tplc="2A685152">
      <w:start w:val="1"/>
      <w:numFmt w:val="decimal"/>
      <w:lvlText w:val="%1."/>
      <w:lvlJc w:val="left"/>
      <w:pPr>
        <w:ind w:left="2220" w:hanging="78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93717AF"/>
    <w:multiLevelType w:val="hybridMultilevel"/>
    <w:tmpl w:val="98769492"/>
    <w:lvl w:ilvl="0" w:tplc="4B0A17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761B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9612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984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9A91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0AD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C81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A07F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40E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03398352">
    <w:abstractNumId w:val="24"/>
  </w:num>
  <w:num w:numId="2" w16cid:durableId="354841766">
    <w:abstractNumId w:val="3"/>
  </w:num>
  <w:num w:numId="3" w16cid:durableId="535431293">
    <w:abstractNumId w:val="20"/>
  </w:num>
  <w:num w:numId="4" w16cid:durableId="1502892273">
    <w:abstractNumId w:val="10"/>
  </w:num>
  <w:num w:numId="5" w16cid:durableId="94635358">
    <w:abstractNumId w:val="18"/>
  </w:num>
  <w:num w:numId="6" w16cid:durableId="125709994">
    <w:abstractNumId w:val="16"/>
  </w:num>
  <w:num w:numId="7" w16cid:durableId="1507134211">
    <w:abstractNumId w:val="25"/>
  </w:num>
  <w:num w:numId="8" w16cid:durableId="409735401">
    <w:abstractNumId w:val="21"/>
  </w:num>
  <w:num w:numId="9" w16cid:durableId="2100784021">
    <w:abstractNumId w:val="19"/>
  </w:num>
  <w:num w:numId="10" w16cid:durableId="32124765">
    <w:abstractNumId w:val="9"/>
  </w:num>
  <w:num w:numId="11" w16cid:durableId="1020425904">
    <w:abstractNumId w:val="4"/>
  </w:num>
  <w:num w:numId="12" w16cid:durableId="106463145">
    <w:abstractNumId w:val="12"/>
  </w:num>
  <w:num w:numId="13" w16cid:durableId="13708351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37025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5676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15684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3464644">
    <w:abstractNumId w:val="6"/>
  </w:num>
  <w:num w:numId="18" w16cid:durableId="2050035358">
    <w:abstractNumId w:val="26"/>
  </w:num>
  <w:num w:numId="19" w16cid:durableId="1789078427">
    <w:abstractNumId w:val="27"/>
  </w:num>
  <w:num w:numId="20" w16cid:durableId="452990302">
    <w:abstractNumId w:val="17"/>
  </w:num>
  <w:num w:numId="21" w16cid:durableId="1937857147">
    <w:abstractNumId w:val="2"/>
  </w:num>
  <w:num w:numId="22" w16cid:durableId="2081056326">
    <w:abstractNumId w:val="5"/>
  </w:num>
  <w:num w:numId="23" w16cid:durableId="1557429894">
    <w:abstractNumId w:val="14"/>
  </w:num>
  <w:num w:numId="24" w16cid:durableId="516165292">
    <w:abstractNumId w:val="11"/>
  </w:num>
  <w:num w:numId="25" w16cid:durableId="2130270427">
    <w:abstractNumId w:val="1"/>
  </w:num>
  <w:num w:numId="26" w16cid:durableId="134106163">
    <w:abstractNumId w:val="15"/>
  </w:num>
  <w:num w:numId="27" w16cid:durableId="394820745">
    <w:abstractNumId w:val="7"/>
  </w:num>
  <w:num w:numId="28" w16cid:durableId="1505315882">
    <w:abstractNumId w:val="22"/>
  </w:num>
  <w:num w:numId="29" w16cid:durableId="464156919">
    <w:abstractNumId w:val="29"/>
  </w:num>
  <w:num w:numId="30" w16cid:durableId="1275015311">
    <w:abstractNumId w:val="0"/>
  </w:num>
  <w:num w:numId="31" w16cid:durableId="1520268912">
    <w:abstractNumId w:val="23"/>
  </w:num>
  <w:num w:numId="32" w16cid:durableId="21069231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D88"/>
    <w:rsid w:val="000B4AFF"/>
    <w:rsid w:val="00113A5C"/>
    <w:rsid w:val="00152928"/>
    <w:rsid w:val="002E4C42"/>
    <w:rsid w:val="0030737F"/>
    <w:rsid w:val="003569F2"/>
    <w:rsid w:val="00397E01"/>
    <w:rsid w:val="003A3288"/>
    <w:rsid w:val="003C6A21"/>
    <w:rsid w:val="003C7512"/>
    <w:rsid w:val="003D4870"/>
    <w:rsid w:val="00421670"/>
    <w:rsid w:val="00492DB6"/>
    <w:rsid w:val="00506410"/>
    <w:rsid w:val="00521B06"/>
    <w:rsid w:val="005D023A"/>
    <w:rsid w:val="005F058C"/>
    <w:rsid w:val="00606D25"/>
    <w:rsid w:val="00682ED4"/>
    <w:rsid w:val="006977DF"/>
    <w:rsid w:val="007233A7"/>
    <w:rsid w:val="007266A7"/>
    <w:rsid w:val="00760EF3"/>
    <w:rsid w:val="007E1ED8"/>
    <w:rsid w:val="00843458"/>
    <w:rsid w:val="00862693"/>
    <w:rsid w:val="0089569F"/>
    <w:rsid w:val="008A740A"/>
    <w:rsid w:val="008C3F15"/>
    <w:rsid w:val="008C79D7"/>
    <w:rsid w:val="008F502A"/>
    <w:rsid w:val="0096618E"/>
    <w:rsid w:val="00975A85"/>
    <w:rsid w:val="009D4E11"/>
    <w:rsid w:val="00A27646"/>
    <w:rsid w:val="00A85A35"/>
    <w:rsid w:val="00A96896"/>
    <w:rsid w:val="00AA0B1D"/>
    <w:rsid w:val="00B53EB2"/>
    <w:rsid w:val="00B62F45"/>
    <w:rsid w:val="00BF20CB"/>
    <w:rsid w:val="00C61CF1"/>
    <w:rsid w:val="00C72026"/>
    <w:rsid w:val="00C77CA2"/>
    <w:rsid w:val="00C967C9"/>
    <w:rsid w:val="00CD27A3"/>
    <w:rsid w:val="00CE452E"/>
    <w:rsid w:val="00CE727F"/>
    <w:rsid w:val="00DB4935"/>
    <w:rsid w:val="00DC6D88"/>
    <w:rsid w:val="00E341CA"/>
    <w:rsid w:val="00E40ED3"/>
    <w:rsid w:val="00E65392"/>
    <w:rsid w:val="00ED3AE5"/>
    <w:rsid w:val="00ED7605"/>
    <w:rsid w:val="00F81BF5"/>
    <w:rsid w:val="00FA359A"/>
    <w:rsid w:val="00FB1D9E"/>
    <w:rsid w:val="00FE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A6914C4"/>
  <w15:docId w15:val="{0654F839-0B76-4EAB-99E7-BEC32B91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A96896"/>
    <w:pPr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Cs/>
      <w:kern w:val="36"/>
      <w:sz w:val="24"/>
      <w:szCs w:val="48"/>
      <w:lang w:val="es-ES" w:eastAsia="es-ES_tradn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96896"/>
    <w:pPr>
      <w:keepNext/>
      <w:keepLines/>
      <w:numPr>
        <w:ilvl w:val="1"/>
        <w:numId w:val="27"/>
      </w:numPr>
      <w:spacing w:before="40" w:after="240"/>
      <w:outlineLvl w:val="1"/>
    </w:pPr>
    <w:rPr>
      <w:rFonts w:ascii="Garamond" w:eastAsiaTheme="majorEastAsia" w:hAnsi="Garamond" w:cstheme="majorBidi"/>
      <w:b/>
      <w:i/>
      <w:color w:val="000000" w:themeColor="text1"/>
      <w:kern w:val="0"/>
      <w:sz w:val="21"/>
      <w:szCs w:val="26"/>
      <w:lang w:val="es-E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96896"/>
    <w:pPr>
      <w:keepNext/>
      <w:keepLines/>
      <w:numPr>
        <w:ilvl w:val="2"/>
        <w:numId w:val="27"/>
      </w:numPr>
      <w:spacing w:before="120" w:after="120"/>
      <w:ind w:left="1225" w:hanging="505"/>
      <w:outlineLvl w:val="2"/>
    </w:pPr>
    <w:rPr>
      <w:rFonts w:asciiTheme="majorHAnsi" w:eastAsiaTheme="majorEastAsia" w:hAnsiTheme="majorHAnsi" w:cstheme="majorBidi"/>
      <w:b/>
      <w:i/>
      <w:color w:val="1F3763" w:themeColor="accent1" w:themeShade="7F"/>
      <w:kern w:val="0"/>
      <w:sz w:val="20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DC6D88"/>
    <w:rPr>
      <w:i/>
      <w:iCs/>
    </w:rPr>
  </w:style>
  <w:style w:type="paragraph" w:customStyle="1" w:styleId="Articletitle">
    <w:name w:val="Article title"/>
    <w:basedOn w:val="Normal"/>
    <w:next w:val="Normal"/>
    <w:qFormat/>
    <w:rsid w:val="00B62F45"/>
    <w:pPr>
      <w:spacing w:after="120" w:line="360" w:lineRule="auto"/>
    </w:pPr>
    <w:rPr>
      <w:rFonts w:ascii="Times New Roman" w:eastAsia="Times New Roman" w:hAnsi="Times New Roman" w:cs="Times New Roman"/>
      <w:b/>
      <w:kern w:val="0"/>
      <w:sz w:val="28"/>
      <w:szCs w:val="24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BF20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6896"/>
    <w:rPr>
      <w:rFonts w:ascii="Times New Roman" w:eastAsia="Times New Roman" w:hAnsi="Times New Roman" w:cs="Times New Roman"/>
      <w:bCs/>
      <w:kern w:val="36"/>
      <w:sz w:val="24"/>
      <w:szCs w:val="48"/>
      <w:lang w:val="es-ES"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A96896"/>
    <w:rPr>
      <w:rFonts w:ascii="Garamond" w:eastAsiaTheme="majorEastAsia" w:hAnsi="Garamond" w:cstheme="majorBidi"/>
      <w:b/>
      <w:i/>
      <w:color w:val="000000" w:themeColor="text1"/>
      <w:kern w:val="0"/>
      <w:sz w:val="21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00A96896"/>
    <w:rPr>
      <w:rFonts w:asciiTheme="majorHAnsi" w:eastAsiaTheme="majorEastAsia" w:hAnsiTheme="majorHAnsi" w:cstheme="majorBidi"/>
      <w:b/>
      <w:i/>
      <w:color w:val="1F3763" w:themeColor="accent1" w:themeShade="7F"/>
      <w:kern w:val="0"/>
      <w:sz w:val="20"/>
      <w:szCs w:val="24"/>
      <w:lang w:val="es-ES"/>
    </w:rPr>
  </w:style>
  <w:style w:type="paragraph" w:styleId="FootnoteText">
    <w:name w:val="footnote text"/>
    <w:basedOn w:val="Normal"/>
    <w:link w:val="FootnoteTextChar"/>
    <w:uiPriority w:val="99"/>
    <w:unhideWhenUsed/>
    <w:rsid w:val="00A96896"/>
    <w:pPr>
      <w:spacing w:after="0" w:line="240" w:lineRule="auto"/>
    </w:pPr>
    <w:rPr>
      <w:kern w:val="0"/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6896"/>
    <w:rPr>
      <w:kern w:val="0"/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unhideWhenUsed/>
    <w:rsid w:val="00A9689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96896"/>
    <w:rPr>
      <w:color w:val="0000FF"/>
      <w:u w:val="single"/>
    </w:rPr>
  </w:style>
  <w:style w:type="table" w:styleId="GridTable1Light-Accent1">
    <w:name w:val="Grid Table 1 Light Accent 1"/>
    <w:basedOn w:val="TableNormal"/>
    <w:uiPriority w:val="46"/>
    <w:rsid w:val="00A96896"/>
    <w:pPr>
      <w:spacing w:after="0" w:line="240" w:lineRule="auto"/>
    </w:pPr>
    <w:rPr>
      <w:kern w:val="0"/>
      <w:lang w:val="es-E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A9689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96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6896"/>
    <w:pPr>
      <w:spacing w:line="240" w:lineRule="auto"/>
    </w:pPr>
    <w:rPr>
      <w:kern w:val="0"/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6896"/>
    <w:rPr>
      <w:kern w:val="0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896"/>
    <w:rPr>
      <w:b/>
      <w:bCs/>
      <w:kern w:val="0"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896"/>
    <w:pPr>
      <w:spacing w:after="0" w:line="240" w:lineRule="auto"/>
    </w:pPr>
    <w:rPr>
      <w:rFonts w:ascii="Times New Roman" w:hAnsi="Times New Roman" w:cs="Times New Roman"/>
      <w:kern w:val="0"/>
      <w:sz w:val="18"/>
      <w:szCs w:val="18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896"/>
    <w:rPr>
      <w:rFonts w:ascii="Times New Roman" w:hAnsi="Times New Roman" w:cs="Times New Roman"/>
      <w:kern w:val="0"/>
      <w:sz w:val="18"/>
      <w:szCs w:val="18"/>
      <w:lang w:val="es-ES"/>
    </w:rPr>
  </w:style>
  <w:style w:type="table" w:styleId="TableGrid">
    <w:name w:val="Table Grid"/>
    <w:basedOn w:val="TableNormal"/>
    <w:uiPriority w:val="39"/>
    <w:rsid w:val="00A96896"/>
    <w:pPr>
      <w:spacing w:after="0" w:line="240" w:lineRule="auto"/>
    </w:pPr>
    <w:rPr>
      <w:kern w:val="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text">
    <w:name w:val="title-text"/>
    <w:basedOn w:val="DefaultParagraphFont"/>
    <w:rsid w:val="00A96896"/>
  </w:style>
  <w:style w:type="character" w:customStyle="1" w:styleId="sr-only">
    <w:name w:val="sr-only"/>
    <w:basedOn w:val="DefaultParagraphFont"/>
    <w:rsid w:val="00A96896"/>
  </w:style>
  <w:style w:type="character" w:customStyle="1" w:styleId="text">
    <w:name w:val="text"/>
    <w:basedOn w:val="DefaultParagraphFont"/>
    <w:rsid w:val="00A96896"/>
  </w:style>
  <w:style w:type="character" w:customStyle="1" w:styleId="author-ref">
    <w:name w:val="author-ref"/>
    <w:basedOn w:val="DefaultParagraphFont"/>
    <w:rsid w:val="00A96896"/>
  </w:style>
  <w:style w:type="paragraph" w:styleId="Revision">
    <w:name w:val="Revision"/>
    <w:hidden/>
    <w:uiPriority w:val="99"/>
    <w:semiHidden/>
    <w:rsid w:val="00A96896"/>
    <w:pPr>
      <w:spacing w:after="0" w:line="240" w:lineRule="auto"/>
    </w:pPr>
    <w:rPr>
      <w:kern w:val="0"/>
      <w:lang w:val="es-ES"/>
    </w:rPr>
  </w:style>
  <w:style w:type="paragraph" w:styleId="TOCHeading">
    <w:name w:val="TOC Heading"/>
    <w:basedOn w:val="Heading1"/>
    <w:next w:val="Normal"/>
    <w:uiPriority w:val="39"/>
    <w:unhideWhenUsed/>
    <w:qFormat/>
    <w:rsid w:val="00A96896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96896"/>
    <w:pPr>
      <w:spacing w:before="120" w:after="0"/>
    </w:pPr>
    <w:rPr>
      <w:rFonts w:cstheme="minorHAnsi"/>
      <w:b/>
      <w:bCs/>
      <w:i/>
      <w:iCs/>
      <w:kern w:val="0"/>
      <w:sz w:val="24"/>
      <w:szCs w:val="24"/>
      <w:lang w:val="es-ES"/>
    </w:rPr>
  </w:style>
  <w:style w:type="paragraph" w:styleId="TOC2">
    <w:name w:val="toc 2"/>
    <w:basedOn w:val="Normal"/>
    <w:next w:val="Normal"/>
    <w:autoRedefine/>
    <w:uiPriority w:val="39"/>
    <w:unhideWhenUsed/>
    <w:rsid w:val="00A96896"/>
    <w:pPr>
      <w:spacing w:before="120" w:after="0"/>
      <w:ind w:left="220"/>
    </w:pPr>
    <w:rPr>
      <w:rFonts w:cstheme="minorHAnsi"/>
      <w:b/>
      <w:bCs/>
      <w:kern w:val="0"/>
      <w:lang w:val="es-ES"/>
    </w:rPr>
  </w:style>
  <w:style w:type="paragraph" w:styleId="TOC3">
    <w:name w:val="toc 3"/>
    <w:basedOn w:val="Normal"/>
    <w:next w:val="Normal"/>
    <w:autoRedefine/>
    <w:uiPriority w:val="39"/>
    <w:unhideWhenUsed/>
    <w:rsid w:val="00A96896"/>
    <w:pPr>
      <w:spacing w:after="0"/>
      <w:ind w:left="440"/>
    </w:pPr>
    <w:rPr>
      <w:rFonts w:cstheme="minorHAnsi"/>
      <w:kern w:val="0"/>
      <w:sz w:val="20"/>
      <w:szCs w:val="20"/>
      <w:lang w:val="es-E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96896"/>
    <w:pPr>
      <w:spacing w:after="0"/>
      <w:ind w:left="660"/>
    </w:pPr>
    <w:rPr>
      <w:rFonts w:cstheme="minorHAnsi"/>
      <w:kern w:val="0"/>
      <w:sz w:val="20"/>
      <w:szCs w:val="20"/>
      <w:lang w:val="es-E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96896"/>
    <w:pPr>
      <w:spacing w:after="0"/>
      <w:ind w:left="880"/>
    </w:pPr>
    <w:rPr>
      <w:rFonts w:cstheme="minorHAnsi"/>
      <w:kern w:val="0"/>
      <w:sz w:val="20"/>
      <w:szCs w:val="20"/>
      <w:lang w:val="es-E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96896"/>
    <w:pPr>
      <w:spacing w:after="0"/>
      <w:ind w:left="1100"/>
    </w:pPr>
    <w:rPr>
      <w:rFonts w:cstheme="minorHAnsi"/>
      <w:kern w:val="0"/>
      <w:sz w:val="20"/>
      <w:szCs w:val="20"/>
      <w:lang w:val="es-E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96896"/>
    <w:pPr>
      <w:spacing w:after="0"/>
      <w:ind w:left="1320"/>
    </w:pPr>
    <w:rPr>
      <w:rFonts w:cstheme="minorHAnsi"/>
      <w:kern w:val="0"/>
      <w:sz w:val="20"/>
      <w:szCs w:val="20"/>
      <w:lang w:val="es-E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96896"/>
    <w:pPr>
      <w:spacing w:after="0"/>
      <w:ind w:left="1540"/>
    </w:pPr>
    <w:rPr>
      <w:rFonts w:cstheme="minorHAnsi"/>
      <w:kern w:val="0"/>
      <w:sz w:val="20"/>
      <w:szCs w:val="20"/>
      <w:lang w:val="es-E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96896"/>
    <w:pPr>
      <w:spacing w:after="0"/>
      <w:ind w:left="1760"/>
    </w:pPr>
    <w:rPr>
      <w:rFonts w:cstheme="minorHAnsi"/>
      <w:kern w:val="0"/>
      <w:sz w:val="20"/>
      <w:szCs w:val="20"/>
      <w:lang w:val="es-ES"/>
    </w:rPr>
  </w:style>
  <w:style w:type="paragraph" w:styleId="NoSpacing">
    <w:name w:val="No Spacing"/>
    <w:uiPriority w:val="1"/>
    <w:qFormat/>
    <w:rsid w:val="00A96896"/>
    <w:pPr>
      <w:spacing w:after="0" w:line="240" w:lineRule="auto"/>
    </w:pPr>
    <w:rPr>
      <w:kern w:val="0"/>
      <w:lang w:val="es-ES"/>
    </w:rPr>
  </w:style>
  <w:style w:type="paragraph" w:styleId="Bibliography">
    <w:name w:val="Bibliography"/>
    <w:basedOn w:val="Normal"/>
    <w:next w:val="Normal"/>
    <w:uiPriority w:val="37"/>
    <w:unhideWhenUsed/>
    <w:rsid w:val="00A96896"/>
    <w:rPr>
      <w:kern w:val="0"/>
      <w:lang w:val="es-E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89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A0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menvi@alumni.uv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vier.esparcia@uv.e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Com19</b:Tag>
    <b:SourceType>JournalArticle</b:SourceType>
    <b:Guid>{86258519-7EF1-491C-887B-027A635F3EA5}</b:Guid>
    <b:Author>
      <b:Author>
        <b:NameList>
          <b:Person>
            <b:Last>McGlynn</b:Last>
            <b:First>Derek</b:First>
            <b:Middle>(Dir.)</b:Middle>
          </b:Person>
        </b:NameList>
      </b:Author>
    </b:Author>
    <b:Title>La evolución del trabajo en red en el ámbito del desarrollo rural</b:Title>
    <b:JournalName>Revista Rural de la UE</b:JournalName>
    <b:Year>2019</b:Year>
    <b:Pages>6-12</b:Pages>
    <b:Issue>27</b:Issue>
    <b:URL>http://hdl.handle.net/10234/188769</b:URL>
    <b:Publisher>Comisión Europea-Dirección General de Agricultura y Desarrollo Rural</b:Publisher>
    <b:RefOrder>1</b:RefOrder>
  </b:Source>
  <b:Source>
    <b:Tag>Mad99</b:Tag>
    <b:SourceType>JournalArticle</b:SourceType>
    <b:Guid>{2BF3B504-CDEF-48F1-8D3E-F09807EBF226}</b:Guid>
    <b:Author>
      <b:Author>
        <b:NameList>
          <b:Person>
            <b:Last>Madoery</b:Last>
            <b:First>Óscar</b:First>
          </b:Person>
        </b:NameList>
      </b:Author>
    </b:Author>
    <b:Title>El territorio como factor estratégico de desarrollo. Hacia un espacio de gestión metropolitana en el Gran Rosario.</b:Title>
    <b:JournalName>Serie Documentos de Trabajo</b:JournalName>
    <b:Year>1999</b:Year>
    <b:Pages>1-19</b:Pages>
    <b:Issue>11</b:Issue>
    <b:URL>http://www.conectadel.org/wp-content/uploads/downloads/2013/03/17MU1176.pdf</b:URL>
    <b:RefOrder>2</b:RefOrder>
  </b:Source>
  <b:Source>
    <b:Tag>Sep08</b:Tag>
    <b:SourceType>Book</b:SourceType>
    <b:Guid>{0DCBA5EA-A7FC-42A4-AD97-A4FA609FCC35}</b:Guid>
    <b:Title>Gestión del desarrollo sostenible en territorios rurales: métodos para la planificación</b:Title>
    <b:Year>2008</b:Year>
    <b:Pages>416</b:Pages>
    <b:City>San José, C.R.</b:City>
    <b:Publisher>IICA</b:Publisher>
    <b:Author>
      <b:Author>
        <b:NameList>
          <b:Person>
            <b:Last>Sepúlveda</b:Last>
            <b:First>Sergio</b:First>
          </b:Person>
        </b:NameList>
      </b:Author>
      <b:Editor>
        <b:NameList>
          <b:Person>
            <b:Last>Agricultura</b:Last>
            <b:First>Instituto</b:First>
            <b:Middle>Interamericano de Cooperación para la</b:Middle>
          </b:Person>
        </b:NameList>
      </b:Editor>
    </b:Author>
    <b:RefOrder>3</b:RefOrder>
  </b:Source>
  <b:Source>
    <b:Tag>Nac15</b:Tag>
    <b:SourceType>Misc</b:SourceType>
    <b:Guid>{C3868ADD-BE6F-4240-9CED-86D2C90B7F85}</b:Guid>
    <b:Author>
      <b:Author>
        <b:Corporate>ONU</b:Corporate>
      </b:Author>
    </b:Author>
    <b:Title>Transformar nuestro mundo: la Agenda 2030 para el Desarrollo Sostenible</b:Title>
    <b:PublicationTitle>Resolución aprobada por la Asamblea General A/RES/70/1</b:PublicationTitle>
    <b:Year>2015</b:Year>
    <b:Month>Septiembre</b:Month>
    <b:Day>25</b:Day>
    <b:City>Nueva York</b:City>
    <b:Publisher>ONU</b:Publisher>
    <b:RefOrder>4</b:RefOrder>
  </b:Source>
  <b:Source>
    <b:Tag>Eco10</b:Tag>
    <b:SourceType>JournalArticle</b:SourceType>
    <b:Guid>{A3125DD9-2E9F-4C30-8849-005267E4E4BA}</b:Guid>
    <b:Title>Renewable energy resources and sustainable development in Mykonos (Greece).</b:Title>
    <b:Year>2010</b:Year>
    <b:Author>
      <b:Author>
        <b:NameList>
          <b:Person>
            <b:Last>Economou</b:Last>
            <b:First>Agisilaos.</b:First>
          </b:Person>
        </b:NameList>
      </b:Author>
    </b:Author>
    <b:JournalName>Renewable and Sustainable Energy Reviews. </b:JournalName>
    <b:Pages>1496-1501.</b:Pages>
    <b:Issue>14. </b:Issue>
    <b:DOI>10.1016/j.rser.2009.11.008</b:DOI>
    <b:RefOrder>5</b:RefOrder>
  </b:Source>
  <b:Source>
    <b:Tag>Bak04</b:Tag>
    <b:SourceType>JournalArticle</b:SourceType>
    <b:Guid>{35207C05-DD72-475E-9E20-2EC857EBC3F0}</b:Guid>
    <b:Author>
      <b:Author>
        <b:NameList>
          <b:Person>
            <b:Last>Bakis</b:Last>
            <b:First>R.</b:First>
          </b:Person>
          <b:Person>
            <b:Last>Demirbas</b:Last>
            <b:First>A.</b:First>
          </b:Person>
        </b:NameList>
      </b:Author>
    </b:Author>
    <b:Title>Sustainable development of small hydropower plants (SHPs)</b:Title>
    <b:JournalName>Energy Sources</b:JournalName>
    <b:Year>2004</b:Year>
    <b:Pages>1105–1118</b:Pages>
    <b:Issue>26</b:Issue>
    <b:DOI> http://dx.doi.org/10.1080/00908310390265932</b:DOI>
    <b:RefOrder>6</b:RefOrder>
  </b:Source>
  <b:Source>
    <b:Tag>STP17</b:Tag>
    <b:SourceType>DocumentFromInternetSite</b:SourceType>
    <b:Guid>{B4B41B0D-8250-4DEC-BF87-A6E9E19B83C8}</b:Guid>
    <b:Title>Secretaría Técnica Planifica Ecuador</b:Title>
    <b:Year>2017</b:Year>
    <b:Author>
      <b:Author>
        <b:Corporate>STPE</b:Corporate>
      </b:Author>
    </b:Author>
    <b:InternetSiteTitle>Sistema Nacional de Información Web site</b:InternetSiteTitle>
    <b:URL>https://sni.gob.ec/proyecciones-y-estudios-demograficos</b:URL>
    <b:YearAccessed>2020</b:YearAccessed>
    <b:MonthAccessed>10</b:MonthAccessed>
    <b:DayAccessed>14</b:DayAccessed>
    <b:ShortTitle>Proyecciones y Estudios Demográficos</b:ShortTitle>
    <b:RefOrder>9</b:RefOrder>
  </b:Source>
  <b:Source>
    <b:Tag>Pla19</b:Tag>
    <b:SourceType>Report</b:SourceType>
    <b:Guid>{23A85AF0-8681-48F4-A228-5A7CE3906ECE}</b:Guid>
    <b:Title>Informe de Avance del Cumplimiento de la Agenda 2030 para el Desarrollo Sostenible</b:Title>
    <b:Year>2019</b:Year>
    <b:City>Quito</b:City>
    <b:Publisher>Secretaría Técnica Planifica Ecuador</b:Publisher>
    <b:Author>
      <b:Author>
        <b:Corporate>Planifica Ecuador</b:Corporate>
      </b:Author>
    </b:Author>
    <b:YearAccessed>2020</b:YearAccessed>
    <b:MonthAccessed>10</b:MonthAccessed>
    <b:DayAccessed>19</b:DayAccessed>
    <b:URL>https://www.planificacion.gob.ec/wp-content/uploads/downloads/2019/07/Informe-Avance-Agenda-2030-Ecuador-2019.pdf</b:URL>
    <b:RefOrder>11</b:RefOrder>
  </b:Source>
  <b:Source>
    <b:Tag>IEA15</b:Tag>
    <b:SourceType>DocumentFromInternetSite</b:SourceType>
    <b:Guid>{E2E69E9A-7E45-4E3A-8EAB-B82D5D18BA67}</b:Guid>
    <b:Title>IRENA</b:Title>
    <b:Year>2015</b:Year>
    <b:Month>February</b:Month>
    <b:Author>
      <b:Author>
        <b:Corporate>IEA-ETSAP &amp; IRENA</b:Corporate>
      </b:Author>
    </b:Author>
    <b:InternetSiteTitle>IRENA web site</b:InternetSiteTitle>
    <b:URL>www.irena.org/Publications</b:URL>
    <b:YearAccessed>2018</b:YearAccessed>
    <b:MonthAccessed>Septiembre</b:MonthAccessed>
    <b:ShortTitle>Hydropower: Technology Brief</b:ShortTitle>
    <b:StandardNumber>E06</b:StandardNumber>
    <b:RefOrder>7</b:RefOrder>
  </b:Source>
  <b:Source>
    <b:Tag>GAD15</b:Tag>
    <b:SourceType>DocumentFromInternetSite</b:SourceType>
    <b:Guid>{B1227476-C31B-40BE-880B-E2196B0A6C6E}</b:Guid>
    <b:Title>Sistema Nacional de Información</b:Title>
    <b:Year>2015</b:Year>
    <b:Author>
      <b:Author>
        <b:Corporate>GAD MUNICIPAL AZOGUES</b:Corporate>
      </b:Author>
    </b:Author>
    <b:URL>https://sni.gob.ec</b:URL>
    <b:ShortTitle>Plan del Buen Vivir y Ordenamiento Territorial de Azogues</b:ShortTitle>
    <b:RefOrder>8</b:RefOrder>
  </b:Source>
  <b:Source>
    <b:Tag>DEC14</b:Tag>
    <b:SourceType>DocumentFromInternetSite</b:SourceType>
    <b:Guid>{BA2BD802-A1B1-465B-9A46-1DAD44C3182A}</b:Guid>
    <b:Title>Department of Energy and Climate Change</b:Title>
    <b:Year>2014</b:Year>
    <b:URL>https://assets.publishing.service.gov.uk/government/uploads/system/uploads/attachment_data/file/363405/FINAL_-_Community_Benefits_Guidance.pdf</b:URL>
    <b:Author>
      <b:Author>
        <b:Corporate>DECC</b:Corporate>
      </b:Author>
    </b:Author>
    <b:YearAccessed>2020</b:YearAccessed>
    <b:MonthAccessed>December</b:MonthAccessed>
    <b:DayAccessed>28</b:DayAccessed>
    <b:RefOrder>12</b:RefOrder>
  </b:Source>
  <b:Source>
    <b:Tag>The14</b:Tag>
    <b:SourceType>DocumentFromInternetSite</b:SourceType>
    <b:Guid>{CAEA8BA6-6203-4A72-A5D2-BA1FE06437C9}</b:Guid>
    <b:InternetSiteTitle>Highland Council Web site</b:InternetSiteTitle>
    <b:Year>2014</b:Year>
    <b:Month>June</b:Month>
    <b:Day>26</b:Day>
    <b:URL>https://www.highland.gov.uk/downloads/file/4542/community_benefit_policy</b:URL>
    <b:Author>
      <b:Author>
        <b:Corporate>Highland Council</b:Corporate>
      </b:Author>
    </b:Author>
    <b:YearAccessed>2020</b:YearAccessed>
    <b:MonthAccessed>December </b:MonthAccessed>
    <b:DayAccessed>19</b:DayAccessed>
    <b:ShortTitle>Community benefit policy</b:ShortTitle>
    <b:RefOrder>13</b:RefOrder>
  </b:Source>
  <b:Source>
    <b:Tag>Goo18</b:Tag>
    <b:SourceType>InternetSite</b:SourceType>
    <b:Guid>{ADC2C067-0D8B-4C6D-A0B4-68670D0174C8}</b:Guid>
    <b:Author>
      <b:Author>
        <b:Corporate>Good Energy</b:Corporate>
      </b:Author>
    </b:Author>
    <b:Title>Good Energy</b:Title>
    <b:InternetSiteTitle>Good Energy</b:InternetSiteTitle>
    <b:Year>2018</b:Year>
    <b:URL>https://www.goodenergy.co.uk/our-energy/our-wind-farms/delabole-wind-farm/</b:URL>
    <b:YearAccessed>2020</b:YearAccessed>
    <b:MonthAccessed>Diciembre</b:MonthAccessed>
    <b:DayAccessed>20</b:DayAccessed>
    <b:RefOrder>14</b:RefOrder>
  </b:Source>
  <b:Source>
    <b:Tag>Sco20</b:Tag>
    <b:SourceType>InternetSite</b:SourceType>
    <b:Guid>{5211A631-E679-4F8D-8955-4B16D3048EA3}</b:Guid>
    <b:Author>
      <b:Author>
        <b:Corporate>Scottishpower</b:Corporate>
      </b:Author>
    </b:Author>
    <b:Title>Scottishpower</b:Title>
    <b:Year>2020</b:Year>
    <b:URL>https://www.scottishpower.com/pages/apprenticeships_and_trainee_programmes.aspx</b:URL>
    <b:YearAccessed>2020</b:YearAccessed>
    <b:MonthAccessed>December</b:MonthAccessed>
    <b:DayAccessed>28</b:DayAccessed>
    <b:RefOrder>15</b:RefOrder>
  </b:Source>
  <b:Source>
    <b:Tag>Lon20</b:Tag>
    <b:SourceType>InternetSite</b:SourceType>
    <b:Guid>{A896BB00-B84B-467B-9753-4300776286A4}</b:Guid>
    <b:Year>2020</b:Year>
    <b:Month>December</b:Month>
    <b:Day>28</b:Day>
    <b:URL>https://londonarray.com/bursary-scheme/</b:URL>
    <b:Author>
      <b:Author>
        <b:Corporate>London Array</b:Corporate>
      </b:Author>
    </b:Author>
    <b:RefOrder>16</b:RefOrder>
  </b:Source>
  <b:Source>
    <b:Tag>She20</b:Tag>
    <b:SourceType>InternetSite</b:SourceType>
    <b:Guid>{B5A9EAF4-BA2B-416F-9609-AF4894448540}</b:Guid>
    <b:Author>
      <b:Author>
        <b:Corporate>Sheringham Shoal</b:Corporate>
      </b:Author>
    </b:Author>
    <b:Year>2020</b:Year>
    <b:URL>http://sheringhamshoal.co.uk/community/community-fund.php</b:URL>
    <b:YearAccessed>2020</b:YearAccessed>
    <b:MonthAccessed>December</b:MonthAccessed>
    <b:DayAccessed>28</b:DayAccessed>
    <b:RefOrder>17</b:RefOrder>
  </b:Source>
  <b:Source>
    <b:Tag>Ait10</b:Tag>
    <b:SourceType>JournalArticle</b:SourceType>
    <b:Guid>{76445CF0-7C84-469A-A6A9-FDC30E08C5DE}</b:Guid>
    <b:Title>Wind power and community benefits: Challenges and opportunities</b:Title>
    <b:Year>2010</b:Year>
    <b:JournalName>Energy Policy</b:JournalName>
    <b:Pages>6066-6075</b:Pages>
    <b:Author>
      <b:Author>
        <b:NameList>
          <b:Person>
            <b:Last>Aitken</b:Last>
            <b:First>M.</b:First>
          </b:Person>
        </b:NameList>
      </b:Author>
    </b:Author>
    <b:Volume>38</b:Volume>
    <b:Issue>10</b:Issue>
    <b:RefOrder>18</b:RefOrder>
  </b:Source>
  <b:Source>
    <b:Tag>ESB20</b:Tag>
    <b:SourceType>InternetSite</b:SourceType>
    <b:Guid>{F39B0464-3B5E-40C0-99D1-DAFAB40E6841}</b:Guid>
    <b:Author>
      <b:Author>
        <b:Corporate>WFCBF</b:Corporate>
      </b:Author>
    </b:Author>
    <b:Title>ESB Wind Farm Community Benefit Funds website</b:Title>
    <b:Year>2020</b:Year>
    <b:URL>https://windfarmcommunityfunds.ie</b:URL>
    <b:YearAccessed>2020</b:YearAccessed>
    <b:MonthAccessed>December</b:MonthAccessed>
    <b:DayAccessed>28</b:DayAccessed>
    <b:RefOrder>19</b:RefOrder>
  </b:Source>
  <b:Source>
    <b:Tag>Lov08</b:Tag>
    <b:SourceType>Misc</b:SourceType>
    <b:Guid>{EDE5F52C-381E-4675-963B-0C234F4976D5}</b:Guid>
    <b:Author>
      <b:Author>
        <b:Corporate>Lovtidende A</b:Corporate>
      </b:Author>
    </b:Author>
    <b:Title>Lov nr 1392</b:Title>
    <b:PublicationTitle>Lov om fremme af vedvarende energi</b:PublicationTitle>
    <b:Year>2008</b:Year>
    <b:Month>december</b:Month>
    <b:Day>30</b:Day>
    <b:City>Aarhus</b:City>
    <b:CountryRegion>Danmarks</b:CountryRegion>
    <b:YearAccessed>2020</b:YearAccessed>
    <b:MonthAccessed>Noviembre</b:MonthAccessed>
    <b:DayAccessed>27</b:DayAccessed>
    <b:URL>https://ens.dk/sites/ens.dk/files/Vindenergi/promotion_of_renewable_energy_act_-_extract.pdf</b:URL>
    <b:RefOrder>20</b:RefOrder>
  </b:Source>
  <b:Source>
    <b:Tag>Com09</b:Tag>
    <b:SourceType>Misc</b:SourceType>
    <b:Guid>{AC6B8E9F-3504-4659-ADC1-2850CFAD03CC}</b:Guid>
    <b:Year>2009</b:Year>
    <b:Month>diciembre</b:Month>
    <b:Day>29</b:Day>
    <b:Author>
      <b:Author>
        <b:Corporate>Ley 8/2009</b:Corporate>
      </b:Author>
    </b:Author>
    <b:PublicationTitle>Ley 8/2009, de 22 de diciembre, por la que se regula el aprovechamiento eólico en Galicia y se crean el canon eólico y el Fondo de Compensación Ambiental.</b:PublicationTitle>
    <b:City>Santiago de Compostela</b:City>
    <b:Publisher>DOG</b:Publisher>
    <b:Pages>252</b:Pages>
    <b:Issue>30</b:Issue>
    <b:DOI>https://www.xunta.gal/dog/Publicados/2009/20091229/Anuncio43F22_gl.html</b:DOI>
    <b:RefOrder>21</b:RefOrder>
  </b:Source>
  <b:Source>
    <b:Tag>Ley06</b:Tag>
    <b:SourceType>Misc</b:SourceType>
    <b:Guid>{483BFEA2-CF91-4368-915A-23AAE207A932}</b:Guid>
    <b:Author>
      <b:Author>
        <b:Corporate>Ley 10/2006</b:Corporate>
      </b:Author>
    </b:Author>
    <b:Title>Ley 10/2006, de 26 de diciembre, de Medidas Fiscales, de Gestión Administrativa y Financiera, y de Organización de la Generalitat</b:Title>
    <b:Year>2006</b:Year>
    <b:Month>Diciembre</b:Month>
    <b:Day>28</b:Day>
    <b:City>Valencia</b:City>
    <b:Publisher>DOCV</b:Publisher>
    <b:Issue>5.416</b:Issue>
    <b:URL>https://www.dogv.gva.es/es/eli/es-vc/l/2006/12/26/10/</b:URL>
    <b:RefOrder>22</b:RefOrder>
  </b:Source>
  <b:Source>
    <b:Tag>Die13</b:Tag>
    <b:SourceType>JournalArticle</b:SourceType>
    <b:Guid>{A0D74EF7-967E-4D7D-8C69-08A00AD5E696}</b:Guid>
    <b:Title>¿De arriba hacia abajo o de abajo hacia arriba? Un análisis crítico de la planificación del desarrollo en América Latina</b:Title>
    <b:Year>2013</b:Year>
    <b:Pages>199-235</b:Pages>
    <b:Author>
      <b:Author>
        <b:NameList>
          <b:Person>
            <b:Last>Diez</b:Last>
            <b:First>José</b:First>
            <b:Middle>Ignacio</b:Middle>
          </b:Person>
          <b:Person>
            <b:Last>Gutiérrez</b:Last>
            <b:First>Ricardo</b:First>
            <b:Middle>Raúl</b:Middle>
          </b:Person>
          <b:Person>
            <b:Last>Pazzi</b:Last>
            <b:First>Andrés</b:First>
          </b:Person>
        </b:NameList>
      </b:Author>
    </b:Author>
    <b:JournalName>Geopolítica(s)</b:JournalName>
    <b:Volume>4</b:Volume>
    <b:Issue>2</b:Issue>
    <b:URL>http://dx.doi.org/10.5209/rev_GEOP.2013.v4.n2.41460</b:URL>
    <b:RefOrder>23</b:RefOrder>
  </b:Source>
  <b:Source>
    <b:Tag>Alb16</b:Tag>
    <b:SourceType>BookSection</b:SourceType>
    <b:Guid>{0CBF9536-B988-4540-83CF-45EAC1F3ED1A}</b:Guid>
    <b:Title>El enfoque del desarrollo económico territorial y la política. Enseñanzas para el cambio de modelo productivo.</b:Title>
    <b:Year>2016</b:Year>
    <b:Pages>47-66</b:Pages>
    <b:Author>
      <b:Author>
        <b:NameList>
          <b:Person>
            <b:Last>Alburquerque</b:Last>
            <b:First>F.</b:First>
          </b:Person>
        </b:NameList>
      </b:Author>
      <b:BookAuthor>
        <b:NameList>
          <b:Person>
            <b:Last>Noguera Tur</b:Last>
            <b:First>Joan</b:First>
            <b:Middle>(coord.)</b:Middle>
          </b:Person>
        </b:NameList>
      </b:BookAuthor>
    </b:Author>
    <b:BookTitle>La visión territorial y sostenible del desarrollo local. Una perspectiva multidisciplinar. </b:BookTitle>
    <b:City>Valencia</b:City>
    <b:Publisher>Universitat de València, Servei de Publicacions.</b:Publisher>
    <b:StateProvince>(Territorio, desarrollo, sistema productivo),</b:StateProvince>
    <b:Volume>Vol. 1: Territorio, desarrollo, sistema productivo</b:Volume>
    <b:RefOrder>24</b:RefOrder>
  </b:Source>
  <b:Source>
    <b:Tag>Váz18</b:Tag>
    <b:SourceType>JournalArticle</b:SourceType>
    <b:Guid>{E8CAED26-B99D-4B37-837A-D8D37D77D8D3}</b:Guid>
    <b:Title>Constitución, desarrollo endógeno y dinámica de las instituciones</b:Title>
    <b:JournalName>Revista de economía mundial</b:JournalName>
    <b:Year>2018</b:Year>
    <b:Pages>201-220</b:Pages>
    <b:Author>
      <b:Author>
        <b:NameList>
          <b:Person>
            <b:Last>Vázquez Barquero</b:Last>
            <b:First>Antonio</b:First>
          </b:Person>
        </b:NameList>
      </b:Author>
    </b:Author>
    <b:Issue>48</b:Issue>
    <b:URL>http://www.conectadel.org/wp-content/uploads/2018/04/2018-AVB-CONSTITUCION-Y-DESARROLLO-ENDOGENO-REM-48.pdf</b:URL>
    <b:RefOrder>25</b:RefOrder>
  </b:Source>
  <b:Source>
    <b:Tag>Váz07</b:Tag>
    <b:SourceType>JournalArticle</b:SourceType>
    <b:Guid>{13DD692C-EF61-4CEF-891B-F0ECA32A1902}</b:Guid>
    <b:Author>
      <b:Author>
        <b:NameList>
          <b:Person>
            <b:Last>Vázquez Barquero</b:Last>
            <b:First>Antonio</b:First>
          </b:Person>
        </b:NameList>
      </b:Author>
    </b:Author>
    <b:Title>Desarrollo endógeno. Teorías y políticas de desarrollo territorial</b:Title>
    <b:JournalName>Revista Investigaciones Regionales</b:JournalName>
    <b:Year>2007</b:Year>
    <b:Pages>183-210</b:Pages>
    <b:Issue>11</b:Issue>
    <b:RefOrder>26</b:RefOrder>
  </b:Source>
  <b:Source>
    <b:Tag>Laf03</b:Tag>
    <b:SourceType>JournalArticle</b:SourceType>
    <b:Guid>{F7B5F483-E05B-4FEB-B0BB-96E61555F15D}</b:Guid>
    <b:Title>Environmental policy integration: towards an analytical framework</b:Title>
    <b:JournalName>Environmental Politics</b:JournalName>
    <b:Year>2003</b:Year>
    <b:Pages>1–22</b:Pages>
    <b:Volume>3</b:Volume>
    <b:Issue>12()</b:Issue>
    <b:Author>
      <b:Author>
        <b:NameList>
          <b:Person>
            <b:Last>Lafferty </b:Last>
            <b:First>William </b:First>
          </b:Person>
          <b:Person>
            <b:Last>Hovden</b:Last>
            <b:First>Eivind</b:First>
          </b:Person>
        </b:NameList>
      </b:Author>
    </b:Author>
    <b:RefOrder>27</b:RefOrder>
  </b:Source>
  <b:Source>
    <b:Tag>Ade13</b:Tag>
    <b:SourceType>JournalArticle</b:SourceType>
    <b:Guid>{80F4E929-AB1E-4DED-9D3C-EA452C31D5AE}</b:Guid>
    <b:Title>Climate Policy Integration: a case of déjà vu?</b:Title>
    <b:Year>2013</b:Year>
    <b:JournalName>Environmental Policy and Governance</b:JournalName>
    <b:Pages>1–12</b:Pages>
    <b:Author>
      <b:Author>
        <b:NameList>
          <b:Person>
            <b:Last>Adelle</b:Last>
            <b:First>Camilla</b:First>
          </b:Person>
          <b:Person>
            <b:Last>Russel</b:Last>
            <b:First>Duncan</b:First>
          </b:Person>
        </b:NameList>
      </b:Author>
    </b:Author>
    <b:Volume>1</b:Volume>
    <b:Issue>23</b:Issue>
    <b:RefOrder>28</b:RefOrder>
  </b:Source>
  <b:Source>
    <b:Tag>Wor87</b:Tag>
    <b:SourceType>Report</b:SourceType>
    <b:Guid>{4088C541-6964-40F3-AFCE-66D58E0F5B43}</b:Guid>
    <b:Title>Our Common Future</b:Title>
    <b:Year>1987</b:Year>
    <b:Author>
      <b:Author>
        <b:Corporate>World Commission on Environment and Development</b:Corporate>
      </b:Author>
    </b:Author>
    <b:Publisher>United Nations</b:Publisher>
    <b:City>New York</b:City>
    <b:ShortTitle>A/42/427</b:ShortTitle>
    <b:URL>https://undocs.org/es/A/42/427</b:URL>
    <b:RefOrder>29</b:RefOrder>
  </b:Source>
  <b:Source>
    <b:Tag>Uni92</b:Tag>
    <b:SourceType>Report</b:SourceType>
    <b:Guid>{7A3CC23D-495C-4872-8559-1EF9AAC4EB88}</b:Guid>
    <b:Author>
      <b:Author>
        <b:Corporate>United Nations</b:Corporate>
      </b:Author>
    </b:Author>
    <b:Title>Report of the United Nations Conference on Environment and Development</b:Title>
    <b:Year>1992</b:Year>
    <b:Publisher>United Nations</b:Publisher>
    <b:City>Rio de Janeiro</b:City>
    <b:ShortTitle> Rio Declaration- A/CONF.151/26 (Vol. I) </b:ShortTitle>
    <b:RefOrder>30</b:RefOrder>
  </b:Source>
  <b:Source>
    <b:Tag>COM01</b:Tag>
    <b:SourceType>Misc</b:SourceType>
    <b:Guid>{53AC860F-4F26-42DE-B84C-BE7D174BC95F}</b:Guid>
    <b:Author>
      <b:Author>
        <b:Corporate>Comisión de las Comunidades Europeas (CCEE)</b:Corporate>
      </b:Author>
    </b:Author>
    <b:Title>Comunicación de la Comisión: Desarrollo sostenible en Europa para un mundo mejor: Estrategia de la Unión Europea para un desarrollo sostenible (Propuesta de la Comisión ante el Consejo Europeo de Gotemburgo)</b:Title>
    <b:PublicationTitle>Comunicación de la Comisión: Desarrollo sostenible en Europa para un mundo mejor: Estrategia de la Unión Europea para un desarrollo sostenible</b:PublicationTitle>
    <b:Year>2001</b:Year>
    <b:Month>5</b:Month>
    <b:Day>15</b:Day>
    <b:City>Bruselas</b:City>
    <b:URL>https://eur-lex.europa.eu/legal-content/ES/TXT/PDF/?uri=CELEX:52001DC0264&amp;from=ES</b:URL>
    <b:RefOrder>31</b:RefOrder>
  </b:Source>
  <b:Source>
    <b:Tag>Com16</b:Tag>
    <b:SourceType>Misc</b:SourceType>
    <b:Guid>{2E04F140-433D-4EA7-93BE-178DE1E45686}</b:Guid>
    <b:Author>
      <b:Author>
        <b:Corporate>Comisión Europea</b:Corporate>
      </b:Author>
    </b:Author>
    <b:Title>Comunicación de la Comisión al Parlamento Europeo, al Consejo, al Comité Económico y Social Europeo y al Comité de las Regiones</b:Title>
    <b:PublicationTitle>Próximas etapas para un futuro europeo sostenible. Acción europea para la sostenibilidad</b:PublicationTitle>
    <b:Year>2016</b:Year>
    <b:City>Estrasburgo</b:City>
    <b:Publisher>Comisión Europea</b:Publisher>
    <b:URL>https://eur-lex.europa.eu/legal-content/ES/TXT/PDF/?uri=CELEX:52016DC0739&amp;from=ES</b:URL>
    <b:RefOrder>32</b:RefOrder>
  </b:Source>
  <b:Source>
    <b:Tag>Com191</b:Tag>
    <b:SourceType>Misc</b:SourceType>
    <b:Guid>{D07EB3C6-B8F6-42F0-8B0B-7467472CB1F4}</b:Guid>
    <b:Author>
      <b:Author>
        <b:Corporate>Comisión Europea (CE)</b:Corporate>
      </b:Author>
    </b:Author>
    <b:Title>Comunicación de la Comisión</b:Title>
    <b:PublicationTitle>El Pacto Verde Europeo</b:PublicationTitle>
    <b:Year>2019</b:Year>
    <b:Month>Diciembre</b:Month>
    <b:Day>11</b:Day>
    <b:City>Bruselas</b:City>
    <b:Publisher>Comisión Europea</b:Publisher>
    <b:URL>https://eur-lex.europa.eu/resource.html?uri=cellar:b828d165-1c22-11ea-8c1f-01aa75ed71a1.0004.02/DOC_1&amp;format=PDF</b:URL>
    <b:RefOrder>33</b:RefOrder>
  </b:Source>
  <b:Source>
    <b:Tag>Jen16</b:Tag>
    <b:SourceType>JournalArticle</b:SourceType>
    <b:Guid>{1455588C-5606-4AE2-9B29-77051BAEF241}</b:Guid>
    <b:Author>
      <b:Author>
        <b:NameList>
          <b:Person>
            <b:Last>Jenkins</b:Last>
            <b:First>Kirsten</b:First>
          </b:Person>
          <b:Person>
            <b:Last>McCauleya</b:Last>
            <b:First>Darren</b:First>
          </b:Person>
          <b:Person>
            <b:Last>Heffronb</b:Last>
            <b:First>Raphael</b:First>
          </b:Person>
          <b:Person>
            <b:Last>Stephanc</b:Last>
            <b:First>Hannes</b:First>
          </b:Person>
        </b:NameList>
      </b:Author>
    </b:Author>
    <b:Title>Energy Justice: A Conceptual Review</b:Title>
    <b:JournalName>nergy Research &amp; Social Science</b:JournalName>
    <b:Year>2016</b:Year>
    <b:Pages>174-182</b:Pages>
    <b:Issue>11</b:Issue>
    <b:DOI>10.1016/j.erss.2015.10.004  </b:DOI>
    <b:RefOrder>34</b:RefOrder>
  </b:Source>
  <b:Source>
    <b:Tag>WEC93</b:Tag>
    <b:SourceType>Report</b:SourceType>
    <b:Guid>{A9E51127-3799-4788-93FB-DCDB562A184F}</b:Guid>
    <b:Author>
      <b:Author>
        <b:Corporate>WEC (World Energy Council) Commission</b:Corporate>
      </b:Author>
    </b:Author>
    <b:Title>Energy for Tomorrow's World The Realities, theReal Options and the Agenda for Achievements</b:Title>
    <b:JournalName>WEC (World Energy Council), 1993, Energy for Tomorrow’s World: The Realities, the</b:JournalName>
    <b:Year>1993</b:Year>
    <b:Publisher>Kogan Page</b:Publisher>
    <b:City>London, UK</b:City>
    <b:RefOrder>35</b:RefOrder>
  </b:Source>
  <b:Source>
    <b:Tag>Gol04</b:Tag>
    <b:SourceType>Report</b:SourceType>
    <b:Guid>{442EA946-FF77-4DE4-B4B2-F4E7C8F94AD3}</b:Guid>
    <b:Author>
      <b:Author>
        <b:Corporate>UNDP, UN—DESA, World Energy Council, United Nations Development Pro 一~ amme.</b:Corporate>
        <b:NameList>
          <b:Person>
            <b:Last>Goldemberg </b:Last>
            <b:First>José</b:First>
          </b:Person>
          <b:Person>
            <b:Last>Johansson</b:Last>
            <b:Middle>B.</b:Middle>
            <b:First>Thomas </b:First>
          </b:Person>
        </b:NameList>
      </b:Author>
    </b:Author>
    <b:Title>World Energy Assessment: Energy and the challenge of sustainability</b:Title>
    <b:Year>2000</b:Year>
    <b:City>New York</b:City>
    <b:RefOrder>36</b:RefOrder>
  </b:Source>
  <b:Source>
    <b:Tag>Hef15</b:Tag>
    <b:SourceType>JournalArticle</b:SourceType>
    <b:Guid>{546EB13F-4A06-42CA-943D-A41A6508DE4D}</b:Guid>
    <b:Title>Resolving society's energy trilemma through the Energy Justice Metric</b:Title>
    <b:JournalName>Energy Policy</b:JournalName>
    <b:Year>2015</b:Year>
    <b:Pages>168-176</b:Pages>
    <b:Author>
      <b:Author>
        <b:NameList>
          <b:Person>
            <b:Last>Heffron</b:Last>
            <b:Middle>J.</b:Middle>
            <b:First>Raphael</b:First>
          </b:Person>
          <b:Person>
            <b:Last>McCauley</b:Last>
            <b:First>Darren</b:First>
          </b:Person>
          <b:Person>
            <b:Last>Sovacool</b:Last>
            <b:First>Benjamin</b:First>
            <b:Middle>K.</b:Middle>
          </b:Person>
        </b:NameList>
      </b:Author>
    </b:Author>
    <b:Issue>87</b:Issue>
    <b:RefOrder>37</b:RefOrder>
  </b:Source>
  <b:Source>
    <b:Tag>RJH15</b:Tag>
    <b:SourceType>JournalArticle</b:SourceType>
    <b:Guid>{87CE64CE-E551-41D0-B602-1467473824A4}</b:Guid>
    <b:Author>
      <b:Author>
        <b:NameList>
          <b:Person>
            <b:Last>Heffron</b:Last>
            <b:First>R.J.</b:First>
          </b:Person>
          <b:Person>
            <b:Last>McCauley</b:Last>
            <b:First>D.</b:First>
          </b:Person>
          <b:Person>
            <b:Last>Sovacool</b:Last>
            <b:First>B.K.</b:First>
          </b:Person>
        </b:NameList>
      </b:Author>
    </b:Author>
    <b:Title>Resolving society’s energy trilemma through the energy justice metric</b:Title>
    <b:JournalName>Energy Policy</b:JournalName>
    <b:Year>2015</b:Year>
    <b:Pages>168–176</b:Pages>
    <b:Issue>87</b:Issue>
    <b:RefOrder>38</b:RefOrder>
  </b:Source>
  <b:Source>
    <b:Tag>LaB17</b:Tag>
    <b:SourceType>JournalArticle</b:SourceType>
    <b:Guid>{FFF23593-D729-4D4F-969F-7534ABDC06F1}</b:Guid>
    <b:Year>2017</b:Year>
    <b:Author>
      <b:Author>
        <b:NameList>
          <b:Person>
            <b:Last>LaBelle</b:Last>
            <b:First>Michael</b:First>
          </b:Person>
        </b:NameList>
      </b:Author>
    </b:Author>
    <b:JournalName>Energy Policy</b:JournalName>
    <b:Pages>615–620</b:Pages>
    <b:Title>In pursuit of energy justice</b:Title>
    <b:Volume>107</b:Volume>
    <b:URL>http://dx.doi.org/10.1016/j.enpol.2017.03.054 </b:URL>
    <b:DOI>10.1016/j.enpol.2017.03.054 </b:DOI>
    <b:RefOrder>39</b:RefOrder>
  </b:Source>
  <b:Source>
    <b:Tag>Owe08</b:Tag>
    <b:SourceType>JournalArticle</b:SourceType>
    <b:Guid>{016AB9D4-DAA2-4625-85E9-7A4431EE616B}</b:Guid>
    <b:Author>
      <b:Author>
        <b:NameList>
          <b:Person>
            <b:Last>Owens</b:Last>
            <b:First>O</b:First>
          </b:Person>
          <b:Person>
            <b:Last>Driffill</b:Last>
            <b:First>L.</b:First>
          </b:Person>
        </b:NameList>
      </b:Author>
    </b:Author>
    <b:Title>How to change attitudes and behaviours in the context of energy.  </b:Title>
    <b:JournalName>Energy Policy</b:JournalName>
    <b:Year>2008</b:Year>
    <b:Pages>4412–4418</b:Pages>
    <b:Issue>36</b:Issue>
    <b:RefOrder>40</b:RefOrder>
  </b:Source>
  <b:Source>
    <b:Tag>McC13</b:Tag>
    <b:SourceType>JournalArticle</b:SourceType>
    <b:Guid>{FD74460D-3829-44AF-AEA2-BD73E412D228}</b:Guid>
    <b:Author>
      <b:Author>
        <b:NameList>
          <b:Person>
            <b:Last>McCauley</b:Last>
            <b:First>D.</b:First>
          </b:Person>
          <b:Person>
            <b:Last>Heffron</b:Last>
            <b:First>R.J.</b:First>
          </b:Person>
          <b:Person>
            <b:Last>Stephan</b:Last>
            <b:First>H.</b:First>
          </b:Person>
          <b:Person>
            <b:Last>Jenkins</b:Last>
            <b:First>K.</b:First>
          </b:Person>
        </b:NameList>
      </b:Author>
    </b:Author>
    <b:Title>Advancing energy justice: the triumvirate of tenets</b:Title>
    <b:JournalName>International Energy Law Review </b:JournalName>
    <b:Year>2013</b:Year>
    <b:Pages>107–110</b:Pages>
    <b:Volume>3</b:Volume>
    <b:Issue>32 </b:Issue>
    <b:RefOrder>41</b:RefOrder>
  </b:Source>
  <b:Source>
    <b:Tag>Tah17</b:Tag>
    <b:SourceType>JournalArticle</b:SourceType>
    <b:Guid>{8F0BF627-ACB0-4EFB-8E72-247F495D308C}</b:Guid>
    <b:Title>Reviewing and critiquing published approaches to the sustainability assessment of hydropower</b:Title>
    <b:Year>2017</b:Year>
    <b:JournalName>Renewable and Sustainable Energy Reviews</b:JournalName>
    <b:Pages>225-234</b:Pages>
    <b:Author>
      <b:Author>
        <b:NameList>
          <b:Person>
            <b:Last>Tahseen</b:Last>
            <b:First>Samiha</b:First>
          </b:Person>
          <b:Person>
            <b:Last>Karney</b:Last>
            <b:Middle>W.</b:Middle>
            <b:First>Bryan </b:First>
          </b:Person>
        </b:NameList>
      </b:Author>
    </b:Author>
    <b:Issue>67</b:Issue>
    <b:RefOrder>42</b:RefOrder>
  </b:Source>
  <b:Source>
    <b:Tag>Ker17</b:Tag>
    <b:SourceType>JournalArticle</b:SourceType>
    <b:Guid>{0950BA14-B769-4493-B3B1-3222DD38A5CC}</b:Guid>
    <b:Title>Understanding community benefit payments from renewable energy development</b:Title>
    <b:Year>2017</b:Year>
    <b:JournalName>Energy Policy</b:JournalName>
    <b:Pages>202-211</b:Pages>
    <b:Author>
      <b:Author>
        <b:NameList>
          <b:Person>
            <b:Last>Kerr </b:Last>
            <b:First>Sandy </b:First>
          </b:Person>
          <b:Person>
            <b:Last>Johnson</b:Last>
            <b:First>Kate</b:First>
          </b:Person>
          <b:Person>
            <b:Last>Weir</b:Last>
            <b:First>Stephanie</b:First>
          </b:Person>
        </b:NameList>
      </b:Author>
    </b:Author>
    <b:Month>June</b:Month>
    <b:Volume>105</b:Volume>
    <b:URL>https://www.sciencedirect.com/science/article/pii/S030142151730109X#bib79</b:URL>
    <b:DOI>https://doi.org/10.1016/j.enpol.2017.02.034</b:DOI>
    <b:RefOrder>43</b:RefOrder>
  </b:Source>
  <b:Source>
    <b:Tag>Gre12</b:Tag>
    <b:SourceType>InternetSite</b:SourceType>
    <b:Guid>{F8A8D0C0-5152-4E3A-B74D-EB15AFFBE062}</b:Guid>
    <b:Title>Greenhouse</b:Title>
    <b:Year>2012</b:Year>
    <b:InternetSiteTitle>Greenhouse Web site</b:InternetSiteTitle>
    <b:Month>November</b:Month>
    <b:Day>19</b:Day>
    <b:URL>https://www.greenhousepr.co.uk/good-energy-announces-uks-first-local-electricity-tariff/</b:URL>
    <b:Author>
      <b:Author>
        <b:Corporate>Greenhouse</b:Corporate>
      </b:Author>
    </b:Author>
    <b:YearAccessed>2020</b:YearAccessed>
    <b:MonthAccessed>Diciembre</b:MonthAccessed>
    <b:DayAccessed>18</b:DayAccessed>
    <b:RefOrder>44</b:RefOrder>
  </b:Source>
  <b:Source>
    <b:Tag>Rud15</b:Tag>
    <b:SourceType>Report</b:SourceType>
    <b:Guid>{42B1F6D9-8C9A-45DC-843F-5FF156A8ABF2}</b:Guid>
    <b:Title>Community Benefits from Offshore Renewables: Good Practice Review</b:Title>
    <b:Year>2015</b:Year>
    <b:Pages>47</b:Pages>
    <b:Publisher>Climat Exchange</b:Publisher>
    <b:City>Edinburgh</b:City>
    <b:Author>
      <b:Author>
        <b:NameList>
          <b:Person>
            <b:Last>Rudolph</b:Last>
            <b:First>David </b:First>
          </b:Person>
          <b:Person>
            <b:Last>Haggett</b:Last>
            <b:First>Claire </b:First>
          </b:Person>
          <b:Person>
            <b:Last>Aitken</b:Last>
            <b:First>Mhairi </b:First>
          </b:Person>
        </b:NameList>
      </b:Author>
    </b:Author>
    <b:ThesisType>Project Report</b:ThesisType>
    <b:YearAccessed>2020</b:YearAccessed>
    <b:MonthAccessed>Diciembre</b:MonthAccessed>
    <b:DayAccessed>13</b:DayAccessed>
    <b:URL>https://www.climatexchange.org.uk/media/1536/full_report_-_community_benefits_from_offshore_renewables_-_good_practice_review.pdf</b:URL>
    <b:RefOrder>45</b:RefOrder>
  </b:Source>
  <b:Source>
    <b:Tag>Kli</b:Tag>
    <b:SourceType>JournalArticle</b:SourceType>
    <b:Guid>{FB687C2E-7EEB-4DDE-A8D3-1A19A9A46437}</b:Guid>
    <b:Title>Recommendations for sustainable hydroelectric development.</b:Title>
    <b:Author>
      <b:Author>
        <b:NameList>
          <b:Person>
            <b:Last>Klimpt</b:Last>
            <b:First>J.</b:First>
            <b:Middle>É.</b:Middle>
          </b:Person>
          <b:Person>
            <b:Last>Rivero</b:Last>
            <b:First>C.</b:First>
          </b:Person>
          <b:Person>
            <b:Last>Puranen</b:Last>
            <b:First>H.</b:First>
          </b:Person>
          <b:Person>
            <b:Last>Koch</b:Last>
            <b:First>F.</b:First>
          </b:Person>
        </b:NameList>
      </b:Author>
    </b:Author>
    <b:JournalName>Energy Policy</b:JournalName>
    <b:Year>2002</b:Year>
    <b:Pages>1305–1312</b:Pages>
    <b:Issue>30</b:Issue>
    <b:DOI>http://dx.doi.org/10.1016/S0301-4215(02)00092-7</b:DOI>
    <b:URL>(Tahseen y Karney, 2017, P. 9: 7613)</b:URL>
    <b:RefOrder>46</b:RefOrder>
  </b:Source>
  <b:Source>
    <b:Tag>Car</b:Tag>
    <b:SourceType>JournalArticle</b:SourceType>
    <b:Guid>{A5FBBCB9-D89E-4423-A71C-5AF879F34270}</b:Guid>
    <b:Title>Sustainability assessment of energy technologies via social indicators: Results of a survey among European energy experts.</b:Title>
    <b:Author>
      <b:Author>
        <b:NameList>
          <b:Person>
            <b:Last>Carrera </b:Last>
            <b:First>D.G.</b:First>
          </b:Person>
          <b:Person>
            <b:Last>Mack </b:Last>
            <b:First>A.</b:First>
          </b:Person>
        </b:NameList>
      </b:Author>
    </b:Author>
    <b:JournalName>Energy Policy</b:JournalName>
    <b:Year>2010</b:Year>
    <b:Pages>1030-1039</b:Pages>
    <b:Issue>38</b:Issue>
    <b:URL>(Tahseen y Kerney, 2017, P. 9: 4967)</b:URL>
    <b:DOI>http://dx.doi.org/10.1016/j.enpol.2009.10.055</b:DOI>
    <b:RefOrder>47</b:RefOrder>
  </b:Source>
  <b:Source>
    <b:Tag>Spa</b:Tag>
    <b:SourceType>JournalArticle</b:SourceType>
    <b:Guid>{0ABC5012-14AE-4BE7-AF4B-C6450AF0F101}</b:Guid>
    <b:Author>
      <b:Author>
        <b:NameList>
          <b:Person>
            <b:Last>Sparkes</b:Last>
            <b:First>S.</b:First>
          </b:Person>
        </b:NameList>
      </b:Author>
    </b:Author>
    <b:Title>Sustainable hydropower development: Theun-Hinboun expansion project case study, Laos.</b:Title>
    <b:JournalName>Water Resources and Rural Development</b:JournalName>
    <b:Year>2014</b:Year>
    <b:Pages>54–66</b:Pages>
    <b:Issue>4</b:Issue>
    <b:DOI>http://dx.doi.org/10.1016/j.wrr.2014.09.002</b:DOI>
    <b:URL>(Tahseen y Karney, 2017, P. 9: 8979)</b:URL>
    <b:RefOrder>48</b:RefOrder>
  </b:Source>
  <b:Source>
    <b:Tag>Yuk10</b:Tag>
    <b:SourceType>JournalArticle</b:SourceType>
    <b:Guid>{FA803170-ADB1-4BEE-B710-17E9D0EF636C}</b:Guid>
    <b:Title>As a renewable energy hydropower for sustainable development in Turkey</b:Title>
    <b:JournalName>Renewable Sustainable Energy Review</b:JournalName>
    <b:Year>2010</b:Year>
    <b:Pages>3213–3219 </b:Pages>
    <b:Author>
      <b:Author>
        <b:NameList>
          <b:Person>
            <b:Last>Yuksel</b:Last>
            <b:First>I.</b:First>
          </b:Person>
        </b:NameList>
      </b:Author>
    </b:Author>
    <b:Issue>14</b:Issue>
    <b:URL>(Tahseen y Karney, 2017, P. 9: 1947)</b:URL>
    <b:DOI>http://dx.doi.org/10.1016/j.rser.2010.07.056</b:DOI>
    <b:RefOrder>49</b:RefOrder>
  </b:Source>
  <b:Source>
    <b:Tag>Sup09</b:Tag>
    <b:SourceType>JournalArticle</b:SourceType>
    <b:Guid>{A48DBF2B-EA61-4FB9-B024-6D1A21C7646F}</b:Guid>
    <b:Title>Hydropower development priority  using MCDM method</b:Title>
    <b:JournalName>Energy Policy </b:JournalName>
    <b:Year>2009</b:Year>
    <b:City>1866–1875</b:City>
    <b:Issue>37</b:Issue>
    <b:URL>(Tahseen y Karney, 2017, P. 9: 5648)</b:URL>
    <b:DOI>http://dx.doi.org/10.1016/j.enpol.2009.01.023</b:DOI>
    <b:Author>
      <b:Author>
        <b:NameList>
          <b:Person>
            <b:Last>Supriyasilp </b:Last>
            <b:First>T.</b:First>
          </b:Person>
          <b:Person>
            <b:Last>Pongput</b:Last>
            <b:First>K. </b:First>
          </b:Person>
          <b:Person>
            <b:Last>Boonyasirikul </b:Last>
            <b:First>T.</b:First>
          </b:Person>
        </b:NameList>
      </b:Author>
    </b:Author>
    <b:RefOrder>50</b:RefOrder>
  </b:Source>
  <b:Source>
    <b:Tag>Wal09</b:Tag>
    <b:SourceType>JournalArticle</b:SourceType>
    <b:Guid>{9289479E-B638-4AD2-8483-B9CBE6297715}</b:Guid>
    <b:Author>
      <b:Author>
        <b:NameList>
          <b:Person>
            <b:Last>Walker</b:Last>
            <b:First>G.</b:First>
          </b:Person>
        </b:NameList>
      </b:Author>
    </b:Author>
    <b:Title>Beyond distribution and proximity: exploring the multiple spatialities of environmental justice.</b:Title>
    <b:JournalName>Antipode</b:JournalName>
    <b:Year>2009</b:Year>
    <b:Pages>614–636.</b:Pages>
    <b:Volume>4</b:Volume>
    <b:Issue>41</b:Issue>
    <b:URL>(Jenkins et al. 2016, P. 10: 1332)</b:URL>
    <b:RefOrder>51</b:RefOrder>
  </b:Source>
  <b:Source>
    <b:Tag>Eam13</b:Tag>
    <b:SourceType>BookSection</b:SourceType>
    <b:Guid>{844CB43B-34A6-4A73-84ED-DCC35AE15852}</b:Guid>
    <b:Title>Energy justice in sustainability transitions research</b:Title>
    <b:Year>2013</b:Year>
    <b:Pages>2013</b:Pages>
    <b:City>London</b:City>
    <b:Publisher>Zed books</b:Publisher>
    <b:URL>(Jenkins et al. 2016, P.9:2862)</b:URL>
    <b:Author>
      <b:Author>
        <b:NameList>
          <b:Person>
            <b:Last>Eames</b:Last>
            <b:First>M.</b:First>
          </b:Person>
          <b:Person>
            <b:Last>Hunt</b:Last>
            <b:First>M.</b:First>
          </b:Person>
        </b:NameList>
      </b:Author>
      <b:BookAuthor>
        <b:NameList>
          <b:Person>
            <b:Last>Bickerstaff</b:Last>
            <b:First>K.</b:First>
          </b:Person>
          <b:Person>
            <b:Last>Walker</b:Last>
            <b:First>G.</b:First>
          </b:Person>
          <b:Person>
            <b:Last>Bulkeley</b:Last>
            <b:First>H.</b:First>
          </b:Person>
          <b:Person>
            <b:Last>(Eds.)</b:Last>
          </b:Person>
        </b:NameList>
      </b:BookAuthor>
    </b:Author>
    <b:BookTitle>Energy Justice in a Changing Climate: Social Equity and Low-carbon Energy</b:BookTitle>
    <b:RefOrder>10</b:RefOrder>
  </b:Source>
  <b:Source>
    <b:Tag>Par12</b:Tag>
    <b:SourceType>JournalArticle</b:SourceType>
    <b:Guid>{7509CD4C-016A-4D0F-ACB6-17E9D240FD2B}</b:Guid>
    <b:Title>Fostering community energy and equal opportunities between communities.</b:Title>
    <b:Year>2012</b:Year>
    <b:Pages>387-408</b:Pages>
    <b:Author>
      <b:Author>
        <b:NameList>
          <b:Person>
            <b:Last>Park</b:Last>
            <b:First>J.J.</b:First>
          </b:Person>
        </b:NameList>
      </b:Author>
    </b:Author>
    <b:JournalName>Local Environment</b:JournalName>
    <b:Volume>4</b:Volume>
    <b:Issue>17</b:Issue>
    <b:URL>(Catney et al. 2014, P. 17: 3267)</b:URL>
    <b:RefOrder>52</b:RefOrder>
  </b:Source>
</b:Sources>
</file>

<file path=customXml/itemProps1.xml><?xml version="1.0" encoding="utf-8"?>
<ds:datastoreItem xmlns:ds="http://schemas.openxmlformats.org/officeDocument/2006/customXml" ds:itemID="{D592014D-F5C7-47F0-927A-03617CA6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Mendieta Vicuña</dc:creator>
  <cp:keywords/>
  <dc:description/>
  <cp:lastModifiedBy>Diana Mendieta Vicuña</cp:lastModifiedBy>
  <cp:revision>23</cp:revision>
  <dcterms:created xsi:type="dcterms:W3CDTF">2023-03-14T04:17:00Z</dcterms:created>
  <dcterms:modified xsi:type="dcterms:W3CDTF">2023-04-11T02:35:00Z</dcterms:modified>
</cp:coreProperties>
</file>