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15C" w:rsidRPr="0099515C" w:rsidRDefault="0099515C" w:rsidP="00AF7016">
      <w:pPr>
        <w:pStyle w:val="NormalWeb"/>
        <w:spacing w:line="360" w:lineRule="auto"/>
        <w:jc w:val="center"/>
        <w:rPr>
          <w:b/>
          <w:bCs/>
          <w:color w:val="291F08"/>
          <w:lang w:val="es-ES"/>
        </w:rPr>
      </w:pPr>
      <w:r>
        <w:rPr>
          <w:b/>
          <w:bCs/>
          <w:color w:val="291F08"/>
          <w:lang w:val="es-ES"/>
        </w:rPr>
        <w:t xml:space="preserve">Elaboración de un </w:t>
      </w:r>
      <w:r w:rsidRPr="0099515C">
        <w:rPr>
          <w:b/>
          <w:bCs/>
          <w:color w:val="291F08"/>
          <w:lang w:val="es-ES"/>
        </w:rPr>
        <w:t>Atlas de soportales en ciudades ecuatorianas</w:t>
      </w:r>
    </w:p>
    <w:p w:rsidR="00D40752" w:rsidRDefault="00D40752" w:rsidP="00AF7016">
      <w:pPr>
        <w:spacing w:line="360" w:lineRule="auto"/>
        <w:jc w:val="center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Martín Durán Hermida – </w:t>
      </w:r>
      <w:r w:rsidR="00FF7B06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María </w:t>
      </w: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Pía Fontana</w:t>
      </w:r>
    </w:p>
    <w:p w:rsidR="005E14C4" w:rsidRPr="00D40752" w:rsidRDefault="005E14C4" w:rsidP="00AF7016">
      <w:pPr>
        <w:spacing w:line="360" w:lineRule="auto"/>
        <w:jc w:val="center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D40752" w:rsidRPr="005A5232" w:rsidRDefault="00D40752" w:rsidP="00AF7016">
      <w:pPr>
        <w:spacing w:line="360" w:lineRule="auto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Eje temático: Dinámicas territoriales urbanas y rurales: producción de espacios, relaciones y conflictos</w:t>
      </w:r>
    </w:p>
    <w:p w:rsidR="00D40752" w:rsidRDefault="00D40752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58505F" w:rsidRDefault="0058505F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5E14C4" w:rsidRPr="002A4471" w:rsidRDefault="005E14C4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highlight w:val="yellow"/>
          <w:lang w:val="es-ES" w:eastAsia="es-ES_tradnl"/>
        </w:rPr>
      </w:pP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Los soportales –portales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, pórticos, plantas bajas aporticadas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- s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on espacios 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que permiten una transición entre 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el 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interior de un edificio y el 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espacio público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, y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se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generan al vaciar la 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fachada de un edificio en su planta baja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. Se trata de espacios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intermedio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s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-entre abierto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s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/cerrado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s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y </w:t>
      </w:r>
      <w:r w:rsidR="00B00495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públicos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/ privado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s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-, 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que f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omenta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n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la vitalidad y la diversidad de usos y actividades (Espiau, 1999)</w:t>
      </w:r>
      <w:r w:rsid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. Estos elementos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protege</w:t>
      </w:r>
      <w:r w:rsid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n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al </w:t>
      </w:r>
      <w:r w:rsidR="00B00495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peatón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del </w:t>
      </w:r>
      <w:r w:rsidR="00B00495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tránsito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(Panerai y Mangin, 1999; Rapoport, 1987) </w:t>
      </w:r>
      <w:r w:rsidR="00A71E22"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>y</w:t>
      </w:r>
      <w:r w:rsidRPr="00A71E2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del clima (Pozueta et al., 2013; Del pino et al, 2009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)</w:t>
      </w:r>
      <w:r w:rsidR="00A71E22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. Además, los soportales 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ordena</w:t>
      </w:r>
      <w:r w:rsidR="00A71E22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n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y unifica</w:t>
      </w:r>
      <w:r w:rsidR="00A71E22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n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las fachadas (Navascués, 2002; Rubert de Ventós, 1993). </w:t>
      </w:r>
      <w:r w:rsidR="00A71E22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En l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os foros romanos</w:t>
      </w:r>
      <w:r w:rsidR="00A71E22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,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stoas griegas, lonjas</w:t>
      </w:r>
      <w:r w:rsidR="00A71E22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 la edad media</w:t>
      </w:r>
      <w:r w:rsidR="002A4471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o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en alineaciones </w:t>
      </w:r>
      <w:r w:rsidR="002A4471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renacentistas 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como la Rue de Rívoli (Pozueta et al., 2013) </w:t>
      </w:r>
      <w:r w:rsidR="002A4471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encontramos soportales; también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B00495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están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presentes e</w:t>
      </w:r>
      <w:r w:rsidR="002A4471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n </w:t>
      </w:r>
      <w:r w:rsidR="002A4471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calles de diversas ciudades </w:t>
      </w:r>
      <w:r w:rsidR="00B00495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mediterráneas</w:t>
      </w:r>
      <w:r w:rsidR="002A4471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o hispanoamericanas</w:t>
      </w:r>
      <w:r w:rsidR="002A4471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, así como e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n plazas mayores </w:t>
      </w:r>
      <w:r w:rsidR="00B00495"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españolas</w:t>
      </w:r>
      <w:r w:rsidRP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(Espiau, 1999),</w:t>
      </w:r>
    </w:p>
    <w:p w:rsidR="00834953" w:rsidRPr="005A5232" w:rsidRDefault="00834953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AB246C" w:rsidRDefault="00834953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A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unque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de gran interés, l</w:t>
      </w: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a literatura existente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sobre soportales en Ecuador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(Castillo, 2020; Santana, 2015;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González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Cruz, 2014; Compte, 2009) 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>es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>limitada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. 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>Con el fin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>de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profundizar en el tema, </w:t>
      </w:r>
      <w:r w:rsidR="005E14C4">
        <w:rPr>
          <w:rFonts w:ascii="Times New Roman" w:eastAsia="Times New Roman" w:hAnsi="Times New Roman" w:cs="Times New Roman"/>
          <w:color w:val="291F08"/>
          <w:lang w:val="es-ES" w:eastAsia="es-ES_tradnl"/>
        </w:rPr>
        <w:t>se realizó un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Atlas de soportales en ciudades ecuatorianas</w:t>
      </w:r>
      <w:r w:rsidR="00700BF9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como parte de una tesis doctoral en proceso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. 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De las 221 ciudades de Ecuador, 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se observaron aquellas con acceso a </w:t>
      </w:r>
      <w:r w:rsidR="00D978B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Google Street View 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–herramienta </w:t>
      </w:r>
      <w:r w:rsidR="00D978B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alternativa a la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observación</w:t>
      </w:r>
      <w:r w:rsidR="00D978B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directa de campo</w:t>
      </w:r>
      <w:r w:rsidR="007D3BAC">
        <w:rPr>
          <w:rFonts w:ascii="Times New Roman" w:eastAsia="Times New Roman" w:hAnsi="Times New Roman" w:cs="Times New Roman"/>
          <w:color w:val="291F08"/>
          <w:lang w:val="es-ES" w:eastAsia="es-ES_tradnl"/>
        </w:rPr>
        <w:t>,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validada en otros estudios</w:t>
      </w:r>
      <w:r w:rsidR="00D978B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(Chiang et al., 2017; Mooney et al., 2016)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-</w:t>
      </w:r>
      <w:r w:rsidR="007D3BAC">
        <w:rPr>
          <w:rFonts w:ascii="Times New Roman" w:eastAsia="Times New Roman" w:hAnsi="Times New Roman" w:cs="Times New Roman"/>
          <w:color w:val="291F08"/>
          <w:lang w:val="es-ES" w:eastAsia="es-ES_tradnl"/>
        </w:rPr>
        <w:t>, se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descartaron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las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ciudades</w:t>
      </w:r>
      <w:r w:rsidR="007D3BA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en las 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que no </w:t>
      </w:r>
      <w:r w:rsidR="007D3BAC">
        <w:rPr>
          <w:rFonts w:ascii="Times New Roman" w:eastAsia="Times New Roman" w:hAnsi="Times New Roman" w:cs="Times New Roman"/>
          <w:color w:val="291F08"/>
          <w:lang w:val="es-ES" w:eastAsia="es-ES_tradnl"/>
        </w:rPr>
        <w:t>se encontraron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soportales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y 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se estudia</w:t>
      </w:r>
      <w:r w:rsidR="005E14C4">
        <w:rPr>
          <w:rFonts w:ascii="Times New Roman" w:eastAsia="Times New Roman" w:hAnsi="Times New Roman" w:cs="Times New Roman"/>
          <w:color w:val="291F08"/>
          <w:lang w:val="es-ES" w:eastAsia="es-ES_tradnl"/>
        </w:rPr>
        <w:t>ro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n 34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casos</w:t>
      </w:r>
      <w:r w:rsidR="00D978B4"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</w:p>
    <w:p w:rsidR="00834953" w:rsidRDefault="00834953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AF7016" w:rsidRDefault="00D978B4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El Atlas consiste en ubicar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los soportales en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las 34 ciudades observadas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y</w:t>
      </w:r>
      <w:r w:rsid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recopilar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y relacionar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datos sobre 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>éstas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. 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Las herramientas que permiten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llevar a cabo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rigurosa y sistemáticamente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el proceso, son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la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recopilación</w:t>
      </w: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 datos a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través</w:t>
      </w: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 consulta de bases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específicas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, el u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s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o de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Sistemas de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Información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Geográfica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, y el cruce de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información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mediante tablas y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gráficos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. </w:t>
      </w:r>
      <w:r w:rsid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Primero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s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e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recorre con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Google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Street View 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un </w:t>
      </w:r>
      <w:r w:rsidR="00B00495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área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 estudio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específica en cada ciudad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,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mientras 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se dibuja sobre el mapa la </w:t>
      </w:r>
      <w:r w:rsidR="00B00495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ubicación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 los soportales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A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partir del dibujo se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obtienen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datos como la longitud de la red de soportales.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Luego,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se recolectan 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de 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distint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>as fuentes,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datos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como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la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temperatura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media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, 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lastRenderedPageBreak/>
        <w:t>altitud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o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>fecha de fundación de la ciudad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; y 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se buscan correlaciones entre </w:t>
      </w:r>
      <w:r w:rsidR="002A4471">
        <w:rPr>
          <w:rFonts w:ascii="Times New Roman" w:eastAsia="Times New Roman" w:hAnsi="Times New Roman" w:cs="Times New Roman"/>
          <w:color w:val="291F08"/>
          <w:lang w:val="es-ES" w:eastAsia="es-ES_tradnl"/>
        </w:rPr>
        <w:t>estos datos</w:t>
      </w:r>
      <w:r w:rsidR="00834953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y la cantidad de soportales en cada ciudad.</w:t>
      </w:r>
      <w:r w:rsidR="005E14C4" w:rsidRPr="00834953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</w:p>
    <w:p w:rsidR="00AF7016" w:rsidRDefault="00AF7016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700BF9" w:rsidRDefault="002A4471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Entre otros interesantes resultados, se puede observar que </w:t>
      </w:r>
      <w:r w:rsidR="00834953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la </w:t>
      </w:r>
      <w:r w:rsidR="005E14C4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temperatura y altitud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son variables que influyen en la cantidad de soportales</w:t>
      </w:r>
      <w:r w:rsidR="005E14C4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  <w:r w:rsid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Es decir,</w:t>
      </w:r>
      <w:r w:rsidR="005E14C4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en general hay más</w:t>
      </w:r>
      <w:r w:rsidR="009D7B59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834953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soportales e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n </w:t>
      </w:r>
      <w:r w:rsid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las</w:t>
      </w:r>
      <w:r w:rsidR="00834953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ciudad</w:t>
      </w:r>
      <w:r w:rsid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es</w:t>
      </w:r>
      <w:r w:rsidR="00834953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con temperaturas </w:t>
      </w:r>
      <w:r w:rsidR="009D7B59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más</w:t>
      </w:r>
      <w:r w:rsidR="005E14C4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alta</w:t>
      </w:r>
      <w:r w:rsid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s</w:t>
      </w:r>
      <w:r w:rsidR="005E14C4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834953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y una altitud más </w:t>
      </w:r>
      <w:r w:rsidR="005E14C4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cerca</w:t>
      </w:r>
      <w:r w:rsidR="00834953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na al nivel</w:t>
      </w:r>
      <w:r w:rsidR="005E14C4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del</w:t>
      </w:r>
      <w:r w:rsidR="00091131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mar</w:t>
      </w:r>
      <w:r w:rsidR="005E14C4" w:rsidRPr="00091131"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CE38FA" w:rsidRPr="00CE38FA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Con esta información, tras el proceso de generación del Atlas, </w:t>
      </w:r>
      <w:r w:rsidR="005E14C4" w:rsidRPr="00CE38FA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de las 34 ciudades estudiadas se definen 3 como casos a ser analizadas </w:t>
      </w:r>
      <w:r w:rsidR="00CE38FA" w:rsidRPr="00CE38FA">
        <w:rPr>
          <w:rFonts w:ascii="Times New Roman" w:eastAsia="Times New Roman" w:hAnsi="Times New Roman" w:cs="Times New Roman"/>
          <w:color w:val="291F08"/>
          <w:lang w:val="es-ES" w:eastAsia="es-ES_tradnl"/>
        </w:rPr>
        <w:t>posteriormente en la tesis doctoral: Cuenca</w:t>
      </w:r>
      <w:r w:rsidR="00CE38FA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-la ciudad de la sierra con más soportales-, Guayaquil -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>la ciudad con más soportales</w:t>
      </w:r>
      <w:r w:rsidR="00CE38FA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en todo el país- y Zaruma -ciudad pequeña con soportales característicos</w:t>
      </w:r>
      <w:r w:rsidR="00AF7016">
        <w:rPr>
          <w:rFonts w:ascii="Times New Roman" w:eastAsia="Times New Roman" w:hAnsi="Times New Roman" w:cs="Times New Roman"/>
          <w:color w:val="291F08"/>
          <w:lang w:val="es-ES" w:eastAsia="es-ES_tradnl"/>
        </w:rPr>
        <w:t>-</w:t>
      </w:r>
      <w:r w:rsidR="00CE38FA"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5E14C4" w:rsidRPr="005A5232" w:rsidRDefault="00834953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Es relevante y  necesario  estudiar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los soportales</w:t>
      </w:r>
      <w:r w:rsid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en el Ecuador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, </w:t>
      </w:r>
      <w:r w:rsid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su funcionamiento,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morfología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,</w:t>
      </w:r>
      <w:r w:rsid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ubicación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y usos, para </w:t>
      </w:r>
      <w:r w:rsid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ponerlos en valor, 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rescata</w:t>
      </w:r>
      <w:r w:rsid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rlos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e incrementarlos</w:t>
      </w:r>
      <w:r w:rsid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Para dar un primer paso hacia esta meta, e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l Atlas </w:t>
      </w:r>
      <w:r w:rsidR="00C41894">
        <w:rPr>
          <w:rFonts w:ascii="Times New Roman" w:eastAsia="Times New Roman" w:hAnsi="Times New Roman" w:cs="Times New Roman"/>
          <w:color w:val="291F08"/>
          <w:lang w:val="es-ES" w:eastAsia="es-ES_tradnl"/>
        </w:rPr>
        <w:t>es útil</w:t>
      </w:r>
      <w:r w:rsid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como</w:t>
      </w:r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instrumento de consulta</w:t>
      </w:r>
      <w:r w:rsidR="00C41894"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  <w:bookmarkStart w:id="0" w:name="_GoBack"/>
      <w:bookmarkEnd w:id="0"/>
      <w:r w:rsidR="005E14C4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</w:p>
    <w:p w:rsidR="0058505F" w:rsidRPr="005A5232" w:rsidRDefault="0058505F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D40752" w:rsidRDefault="00D40752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Palabras clave: Soportales Ecuador, espacios intermedios, espacio </w:t>
      </w:r>
      <w:r w:rsidR="00B00495"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>público</w:t>
      </w:r>
      <w:r w:rsidRPr="005A5232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, arquitectura urbana. </w:t>
      </w:r>
    </w:p>
    <w:p w:rsidR="0058505F" w:rsidRPr="005A5232" w:rsidRDefault="0058505F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D40752" w:rsidRPr="0058505F" w:rsidRDefault="00D40752" w:rsidP="00AF701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91F08"/>
          <w:lang w:val="es-ES" w:eastAsia="es-ES_tradnl"/>
        </w:rPr>
      </w:pPr>
      <w:r w:rsidRPr="0058505F">
        <w:rPr>
          <w:rFonts w:ascii="Times New Roman" w:eastAsia="Times New Roman" w:hAnsi="Times New Roman" w:cs="Times New Roman"/>
          <w:b/>
          <w:bCs/>
          <w:color w:val="291F08"/>
          <w:lang w:val="es-ES" w:eastAsia="es-ES_tradnl"/>
        </w:rPr>
        <w:t>Referencias bibliográficas</w:t>
      </w:r>
    </w:p>
    <w:p w:rsidR="00D40752" w:rsidRPr="00D40752" w:rsidRDefault="00D40752" w:rsidP="00AF701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Castillo, L. (2020). El portal como espacio colectivo, vínculo entre edificio y área pública. Cuenca como caso de estudio, plaza central y las herrerías. Universidad de Cuenca.</w:t>
      </w:r>
    </w:p>
    <w:p w:rsidR="0099515C" w:rsidRPr="0058505F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n-US" w:eastAsia="es-ES_tradnl"/>
        </w:rPr>
      </w:pP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br/>
        <w:t xml:space="preserve">Chiang, Y. C., Sullivan, W., &amp; Larsen, L. (2017). </w:t>
      </w:r>
      <w:r w:rsidRPr="0058505F">
        <w:rPr>
          <w:rFonts w:ascii="Times New Roman" w:eastAsia="Times New Roman" w:hAnsi="Times New Roman" w:cs="Times New Roman"/>
          <w:color w:val="291F08"/>
          <w:lang w:val="en-US" w:eastAsia="es-ES_tradnl"/>
        </w:rPr>
        <w:t xml:space="preserve">Measuring neighborhood walkable environments: A comparison of three approaches. International journal of environmental research and public health, 14(6), 593. </w:t>
      </w:r>
    </w:p>
    <w:p w:rsidR="0099515C" w:rsidRPr="0058505F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n-US" w:eastAsia="es-ES_tradnl"/>
        </w:rPr>
      </w:pP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58505F">
        <w:rPr>
          <w:rFonts w:ascii="Times New Roman" w:eastAsia="Times New Roman" w:hAnsi="Times New Roman" w:cs="Times New Roman"/>
          <w:color w:val="291F08"/>
          <w:lang w:val="en-US" w:eastAsia="es-ES_tradnl"/>
        </w:rPr>
        <w:t xml:space="preserve">Compte, F. (2009). </w:t>
      </w: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Continuidades y Rupturas de la Arquitectura Tradicional de Guayaquil. Universidad Católica Santiago de Guayaquil, pp. 21-32.</w:t>
      </w: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Espiau, M. (1999). El espacio ambiguo: apuntes para una reflexión sobre el soportal. Laboratoriode Arte: Revista del Departamento de Historia del Arte, (12), 385-392. </w:t>
      </w: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99515C" w:rsidRPr="0058505F" w:rsidRDefault="00B00495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n-US" w:eastAsia="es-ES_tradnl"/>
        </w:rPr>
      </w:pP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González</w:t>
      </w:r>
      <w:r w:rsidR="0099515C"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Cruz, A. (2014). </w:t>
      </w:r>
      <w:r w:rsidR="0099515C" w:rsidRPr="0058505F">
        <w:rPr>
          <w:rFonts w:ascii="Times New Roman" w:eastAsia="Times New Roman" w:hAnsi="Times New Roman" w:cs="Times New Roman"/>
          <w:color w:val="291F08"/>
          <w:lang w:val="en-US" w:eastAsia="es-ES_tradnl"/>
        </w:rPr>
        <w:t xml:space="preserve">Guayaquil’s playgrounds: Soportales. </w:t>
      </w:r>
      <w:r w:rsidR="0099515C" w:rsidRPr="0099515C">
        <w:rPr>
          <w:rFonts w:ascii="Times New Roman" w:eastAsia="Times New Roman" w:hAnsi="Times New Roman" w:cs="Times New Roman"/>
          <w:color w:val="291F08"/>
          <w:lang w:val="en-US" w:eastAsia="es-ES_tradnl"/>
        </w:rPr>
        <w:t xml:space="preserve">Objects and Collective Actions in Contemporary Public Space. </w:t>
      </w:r>
      <w:r w:rsidR="0099515C" w:rsidRPr="0058505F">
        <w:rPr>
          <w:rFonts w:ascii="Times New Roman" w:eastAsia="Times New Roman" w:hAnsi="Times New Roman" w:cs="Times New Roman"/>
          <w:color w:val="291F08"/>
          <w:lang w:val="en-US" w:eastAsia="es-ES_tradnl"/>
        </w:rPr>
        <w:t xml:space="preserve">Congress Creative Adjecencies. </w:t>
      </w: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99515C">
        <w:rPr>
          <w:rFonts w:ascii="Times New Roman" w:eastAsia="Times New Roman" w:hAnsi="Times New Roman" w:cs="Times New Roman"/>
          <w:color w:val="291F08"/>
          <w:lang w:val="en-US" w:eastAsia="es-ES_tradnl"/>
        </w:rPr>
        <w:lastRenderedPageBreak/>
        <w:br/>
        <w:t xml:space="preserve">Mooney, S. J., Bader, M. D., Lovasi, G. S., Teitler, J. O., Koenen, K. C., Aiello, A. E.,Rundle, A. G. (2017). </w:t>
      </w:r>
      <w:r w:rsidRPr="0058505F">
        <w:rPr>
          <w:rFonts w:ascii="Times New Roman" w:eastAsia="Times New Roman" w:hAnsi="Times New Roman" w:cs="Times New Roman"/>
          <w:color w:val="291F08"/>
          <w:lang w:val="en-US" w:eastAsia="es-ES_tradnl"/>
        </w:rPr>
        <w:t xml:space="preserve">Street audits to measure neighborhood disorder: virtual or in-person? </w:t>
      </w: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American journal of epidemiology, 186(3), 265-273. </w:t>
      </w: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highlight w:val="yellow"/>
          <w:lang w:val="es-ES" w:eastAsia="es-ES_tradnl"/>
        </w:rPr>
      </w:pP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Navascués, P. (2002). La plaza mayor en España. Ávila. Fundación Cultural SantaTeresa.</w:t>
      </w: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br/>
      </w:r>
    </w:p>
    <w:p w:rsidR="0099515C" w:rsidRPr="00AB246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AB246C">
        <w:rPr>
          <w:rFonts w:ascii="Times New Roman" w:eastAsia="Times New Roman" w:hAnsi="Times New Roman" w:cs="Times New Roman"/>
          <w:color w:val="291F08"/>
          <w:lang w:val="es-ES" w:eastAsia="es-ES_tradnl"/>
        </w:rPr>
        <w:t>Panerai, P. &amp; Mangin, D (1999). Proyectar la ciudad. Madrid. Celeste.</w:t>
      </w:r>
    </w:p>
    <w:p w:rsidR="0099515C" w:rsidRPr="00AB246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99515C" w:rsidRPr="00AB246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AB246C">
        <w:rPr>
          <w:rFonts w:ascii="Times New Roman" w:eastAsia="Times New Roman" w:hAnsi="Times New Roman" w:cs="Times New Roman"/>
          <w:color w:val="291F08"/>
          <w:lang w:val="es-ES" w:eastAsia="es-ES_tradnl"/>
        </w:rPr>
        <w:t>Del Pino, I., Compte, F., Cepeda, F., et al. (2009). Ciudad y Arquitectura Republicana de Ecuador.</w:t>
      </w:r>
    </w:p>
    <w:p w:rsidR="0099515C" w:rsidRPr="00AB246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99515C" w:rsidRPr="00AB246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AB246C">
        <w:rPr>
          <w:rFonts w:ascii="Times New Roman" w:eastAsia="Times New Roman" w:hAnsi="Times New Roman" w:cs="Times New Roman"/>
          <w:color w:val="291F08"/>
          <w:lang w:val="es-ES" w:eastAsia="es-ES_tradnl"/>
        </w:rPr>
        <w:t>Pozueta, J., Lamíquiz, F. &amp; Porto, M. (2013). La ciudad paseable. Madrid: Centro de Estudios y Experimentación de Obras Públicas.</w:t>
      </w:r>
    </w:p>
    <w:p w:rsidR="0099515C" w:rsidRPr="00AB246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AB246C">
        <w:rPr>
          <w:rFonts w:ascii="Times New Roman" w:eastAsia="Times New Roman" w:hAnsi="Times New Roman" w:cs="Times New Roman"/>
          <w:color w:val="291F08"/>
          <w:lang w:val="es-ES" w:eastAsia="es-ES_tradnl"/>
        </w:rPr>
        <w:t>Rapoport, A. (1987). Pedestrian street use: Cultura and percepción. En Ángel M., La calle moderna en 30 autores contemporáneos y un pionero. (2014). (pp. 97-108). Universitat Politècnica de Catalunya</w:t>
      </w: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Rubert de Ventós, M. (1993). Places porxades a Catalunya. El projecte vuitcentista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Universitat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 xml:space="preserve"> </w:t>
      </w: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Politècnica de Catalunya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</w:p>
    <w:p w:rsidR="0099515C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</w:p>
    <w:p w:rsidR="00DB1FA1" w:rsidRPr="00A71E22" w:rsidRDefault="0099515C" w:rsidP="00AF7016">
      <w:pPr>
        <w:spacing w:line="360" w:lineRule="auto"/>
        <w:jc w:val="both"/>
        <w:rPr>
          <w:rFonts w:ascii="Times New Roman" w:eastAsia="Times New Roman" w:hAnsi="Times New Roman" w:cs="Times New Roman"/>
          <w:color w:val="291F08"/>
          <w:lang w:val="es-ES" w:eastAsia="es-ES_tradnl"/>
        </w:rPr>
      </w:pPr>
      <w:r w:rsidRPr="0099515C">
        <w:rPr>
          <w:rFonts w:ascii="Times New Roman" w:eastAsia="Times New Roman" w:hAnsi="Times New Roman" w:cs="Times New Roman"/>
          <w:color w:val="291F08"/>
          <w:lang w:val="es-ES" w:eastAsia="es-ES_tradnl"/>
        </w:rPr>
        <w:t>Santana, C. (2015). Guayaquil, ciudad de soportales: una reflexión acerca de su importancia y su uso actual. Revista de Turismo y Patrimonio Cultural, 13 , 681-696</w:t>
      </w:r>
      <w:r>
        <w:rPr>
          <w:rFonts w:ascii="Times New Roman" w:eastAsia="Times New Roman" w:hAnsi="Times New Roman" w:cs="Times New Roman"/>
          <w:color w:val="291F08"/>
          <w:lang w:val="es-ES" w:eastAsia="es-ES_tradnl"/>
        </w:rPr>
        <w:t>.</w:t>
      </w:r>
    </w:p>
    <w:sectPr w:rsidR="00DB1FA1" w:rsidRPr="00A71E22" w:rsidSect="00D40752"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920AF"/>
    <w:multiLevelType w:val="multilevel"/>
    <w:tmpl w:val="012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52"/>
    <w:rsid w:val="00054225"/>
    <w:rsid w:val="00091131"/>
    <w:rsid w:val="001D4B07"/>
    <w:rsid w:val="00243360"/>
    <w:rsid w:val="002A4471"/>
    <w:rsid w:val="002D632B"/>
    <w:rsid w:val="004122F3"/>
    <w:rsid w:val="0058505F"/>
    <w:rsid w:val="005963FC"/>
    <w:rsid w:val="005A5232"/>
    <w:rsid w:val="005E14C4"/>
    <w:rsid w:val="006348DB"/>
    <w:rsid w:val="00700BF9"/>
    <w:rsid w:val="007D3BAC"/>
    <w:rsid w:val="00800388"/>
    <w:rsid w:val="00834953"/>
    <w:rsid w:val="00925623"/>
    <w:rsid w:val="0099515C"/>
    <w:rsid w:val="009D7B59"/>
    <w:rsid w:val="00A50448"/>
    <w:rsid w:val="00A71E22"/>
    <w:rsid w:val="00AB246C"/>
    <w:rsid w:val="00AF7016"/>
    <w:rsid w:val="00B00495"/>
    <w:rsid w:val="00C41894"/>
    <w:rsid w:val="00CC75B1"/>
    <w:rsid w:val="00CE38FA"/>
    <w:rsid w:val="00D40752"/>
    <w:rsid w:val="00D978B4"/>
    <w:rsid w:val="00DB1FA1"/>
    <w:rsid w:val="00FA1752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C0FE"/>
  <w15:chartTrackingRefBased/>
  <w15:docId w15:val="{025D9026-A5E4-EF42-982E-08EF9A9D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7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35297D-ACA0-D244-87DE-F8F83841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2023-02-09T17:38:00Z</dcterms:created>
  <dcterms:modified xsi:type="dcterms:W3CDTF">2023-02-09T22:17:00Z</dcterms:modified>
</cp:coreProperties>
</file>